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0" w:before="2400"/>
      </w:pPr>
    </w:p>
    <w:p>
      <w:pPr>
        <w:spacing w:after="100"/>
        <w:jc w:val="center"/>
      </w:pPr>
      <w:r>
        <w:rPr>
          <w:rFonts w:ascii="Arial" w:cs="Arial" w:eastAsia="Arial" w:hAnsi="Arial"/>
          <w:color w:val="555555"/>
          <w:spacing w:val="200"/>
          <w:sz w:val="22"/>
          <w:szCs w:val="22"/>
        </w:rPr>
        <w:t xml:space="preserve">SPIELKONZEPT</w:t>
      </w:r>
    </w:p>
    <w:p>
      <w:pPr>
        <w:spacing w:after="80"/>
        <w:jc w:val="center"/>
      </w:pPr>
      <w:r>
        <w:rPr>
          <w:rFonts w:ascii="Arial" w:cs="Arial" w:eastAsia="Arial" w:hAnsi="Arial"/>
          <w:b/>
          <w:bCs/>
          <w:color w:val="1A1A2E"/>
          <w:sz w:val="56"/>
          <w:szCs w:val="56"/>
        </w:rPr>
        <w:t xml:space="preserve">THIOLA PONG</w:t>
      </w:r>
    </w:p>
    <w:p>
      <w:pPr>
        <w:spacing w:after="400"/>
        <w:jc w:val="center"/>
      </w:pPr>
      <w:r>
        <w:rPr>
          <w:rFonts w:ascii="Arial" w:cs="Arial" w:eastAsia="Arial" w:hAnsi="Arial"/>
          <w:b/>
          <w:bCs/>
          <w:color w:val="00B894"/>
          <w:sz w:val="36"/>
          <w:szCs w:val="36"/>
        </w:rPr>
        <w:t xml:space="preserve">EDITION</w:t>
      </w:r>
    </w:p>
    <w:p>
      <w:pPr>
        <w:pBdr>
          <w:top w:val="single" w:color="00B894" w:sz="6" w:space="12"/>
        </w:pBdr>
        <w:spacing w:after="160" w:before="200"/>
        <w:jc w:val="center"/>
      </w:pPr>
      <w:r>
        <w:rPr>
          <w:rFonts w:ascii="Arial" w:cs="Arial" w:eastAsia="Arial" w:hAnsi="Arial"/>
          <w:color w:val="555555"/>
          <w:sz w:val="24"/>
          <w:szCs w:val="24"/>
        </w:rPr>
        <w:t xml:space="preserve">Edukatives Arcade-Spiel für den Messestand</w:t>
      </w:r>
    </w:p>
    <w:p>
      <w:pPr>
        <w:spacing w:after="120"/>
        <w:jc w:val="center"/>
      </w:pPr>
      <w:r>
        <w:rPr>
          <w:rFonts w:ascii="Arial" w:cs="Arial" w:eastAsia="Arial" w:hAnsi="Arial"/>
          <w:color w:val="00B894"/>
          <w:sz w:val="20"/>
          <w:szCs w:val="20"/>
        </w:rPr>
        <w:t xml:space="preserve">Cystinurie • Steinanalyse • Thiola-Therapie</w:t>
      </w:r>
    </w:p>
    <w:p>
      <w:pPr>
        <w:spacing w:after="0" w:before="1200"/>
      </w:pPr>
    </w:p>
    <w:p>
      <w:pPr>
        <w:spacing w:after="60"/>
        <w:jc w:val="center"/>
      </w:pPr>
      <w:r>
        <w:rPr>
          <w:rFonts w:ascii="Arial" w:cs="Arial" w:eastAsia="Arial" w:hAnsi="Arial"/>
          <w:color w:val="555555"/>
          <w:sz w:val="20"/>
          <w:szCs w:val="20"/>
        </w:rPr>
        <w:t xml:space="preserve">Konzeptdokument</w:t>
      </w:r>
    </w:p>
    <w:p>
      <w:pPr>
        <w:jc w:val="center"/>
      </w:pPr>
      <w:r>
        <w:rPr>
          <w:rFonts w:ascii="Arial" w:cs="Arial" w:eastAsia="Arial" w:hAnsi="Arial"/>
          <w:color w:val="555555"/>
          <w:sz w:val="20"/>
          <w:szCs w:val="20"/>
        </w:rPr>
        <w:t xml:space="preserve">Stand: April 2026</w:t>
      </w:r>
    </w:p>
    <w:p>
      <w:pPr>
        <w:sectPr>
          <w:pgSz w:w="11906" w:h="16838" w:orient="portrait"/>
          <w:pgMar w:top="1440" w:right="1440" w:bottom="1440" w:left="1440" w:header="708" w:footer="708" w:gutter="0"/>
          <w:pgNumType/>
          <w:docGrid w:linePitch="360"/>
        </w:sectPr>
      </w:pPr>
    </w:p>
    <w:p>
      <w:pPr>
        <w:pStyle w:val="Heading1"/>
        <w:spacing w:after="180" w:before="360"/>
      </w:pPr>
      <w:r>
        <w:rPr>
          <w:rFonts w:ascii="Arial" w:cs="Arial" w:eastAsia="Arial" w:hAnsi="Arial"/>
          <w:b/>
          <w:bCs/>
          <w:color w:val="1A1A2E"/>
          <w:sz w:val="32"/>
          <w:szCs w:val="32"/>
        </w:rPr>
        <w:t xml:space="preserve">1. Überblick</w:t>
      </w:r>
    </w:p>
    <w:p>
      <w:pPr>
        <w:spacing w:after="160" w:before="0" w:line="300"/>
        <w:jc w:val="left"/>
      </w:pPr>
      <w:r>
        <w:rPr>
          <w:rFonts w:ascii="Arial" w:cs="Arial" w:eastAsia="Arial" w:hAnsi="Arial"/>
          <w:b/>
          <w:bCs/>
          <w:i w:val="false"/>
          <w:iCs w:val="false"/>
          <w:color w:val="00B894"/>
          <w:sz w:val="22"/>
          <w:szCs w:val="22"/>
        </w:rPr>
        <w:t xml:space="preserve">THIOLA PONG</w:t>
      </w:r>
      <w:r>
        <w:rPr>
          <w:rFonts w:ascii="Arial" w:cs="Arial" w:eastAsia="Arial" w:hAnsi="Arial"/>
          <w:b w:val="false"/>
          <w:bCs w:val="false"/>
          <w:i w:val="false"/>
          <w:iCs w:val="false"/>
          <w:color w:val="222222"/>
          <w:sz w:val="22"/>
          <w:szCs w:val="22"/>
        </w:rPr>
        <w:t xml:space="preserve"> ist eine edukative Variante des Arcade-Klassikers Pong, entwickelt für den Einsatz auf einem Messestand eines Pharmaunternehmens. Das Spiel verbindet das bekannte Spielprinzip mit medizinischen Kernbotschaften rund um Cystinurie, konsequente Steinanalyse und die Therapie mit Thiola (Tiopronin).</w:t>
      </w:r>
    </w:p>
    <w:p>
      <w:pPr>
        <w:spacing w:after="160" w:before="0" w:line="300"/>
        <w:jc w:val="left"/>
      </w:pPr>
      <w:r>
        <w:rPr>
          <w:rFonts w:ascii="Arial" w:cs="Arial" w:eastAsia="Arial" w:hAnsi="Arial"/>
          <w:b w:val="false"/>
          <w:bCs w:val="false"/>
          <w:i w:val="false"/>
          <w:iCs w:val="false"/>
          <w:color w:val="222222"/>
          <w:sz w:val="22"/>
          <w:szCs w:val="22"/>
        </w:rPr>
        <w:t xml:space="preserve">Das Spiel läuft vollständig im Browser als eigenständige HTML-Datei ohne externe Abhängigkeiten und eignet sich für Tablets, Touchscreens oder Desktop-Bildschirme am Messestand.</w:t>
      </w:r>
    </w:p>
    <w:p>
      <w:pPr>
        <w:pStyle w:val="Heading2"/>
        <w:spacing w:after="180" w:before="280"/>
      </w:pPr>
      <w:r>
        <w:rPr>
          <w:rFonts w:ascii="Arial" w:cs="Arial" w:eastAsia="Arial" w:hAnsi="Arial"/>
          <w:b/>
          <w:bCs/>
          <w:color w:val="00B894"/>
          <w:sz w:val="28"/>
          <w:szCs w:val="28"/>
        </w:rPr>
        <w:t xml:space="preserve">1.1 Zielgruppe und Einsatzzweck</w:t>
      </w:r>
    </w:p>
    <w:p>
      <w:pPr>
        <w:spacing w:after="160" w:before="0" w:line="300"/>
        <w:jc w:val="left"/>
      </w:pPr>
      <w:r>
        <w:rPr>
          <w:rFonts w:ascii="Arial" w:cs="Arial" w:eastAsia="Arial" w:hAnsi="Arial"/>
          <w:b w:val="false"/>
          <w:bCs w:val="false"/>
          <w:i w:val="false"/>
          <w:iCs w:val="false"/>
          <w:color w:val="222222"/>
          <w:sz w:val="22"/>
          <w:szCs w:val="22"/>
        </w:rPr>
        <w:t xml:space="preserve">Das Spiel richtet sich an Fachpublikum (Urologen, Nephrologen, Allgemeinmediziner) auf Fachkongressen und Messen. Es soll Standbesucher zum Verweilen animieren und dabei zentrale Botschaften zur Cystinurie-Diagnostik und -Therapie transportieren.</w:t>
      </w:r>
    </w:p>
    <w:p>
      <w:pPr>
        <w:pStyle w:val="Heading2"/>
        <w:spacing w:after="180" w:before="280"/>
      </w:pPr>
      <w:r>
        <w:rPr>
          <w:rFonts w:ascii="Arial" w:cs="Arial" w:eastAsia="Arial" w:hAnsi="Arial"/>
          <w:b/>
          <w:bCs/>
          <w:color w:val="00B894"/>
          <w:sz w:val="28"/>
          <w:szCs w:val="28"/>
        </w:rPr>
        <w:t xml:space="preserve">1.2 Kernbotschaften</w:t>
      </w:r>
    </w:p>
    <w:p>
      <w:pPr>
        <w:pStyle w:val="ListParagraph"/>
        <w:numPr>
          <w:ilvl w:val="0"/>
          <w:numId w:val="2"/>
        </w:numPr>
        <w:spacing w:after="80" w:line="300"/>
      </w:pPr>
      <w:r>
        <w:rPr>
          <w:rFonts w:ascii="Arial" w:cs="Arial" w:eastAsia="Arial" w:hAnsi="Arial"/>
          <w:b/>
          <w:bCs/>
          <w:sz w:val="22"/>
          <w:szCs w:val="22"/>
        </w:rPr>
        <w:t xml:space="preserve">Konsequente Steinanalyse:</w:t>
      </w:r>
      <w:r>
        <w:rPr>
          <w:rFonts w:ascii="Arial" w:cs="Arial" w:eastAsia="Arial" w:hAnsi="Arial"/>
          <w:sz w:val="22"/>
          <w:szCs w:val="22"/>
        </w:rPr>
        <w:t xml:space="preserve"> Jeder Nierenstein sollte analysiert werden, um Cystinsteine sicher zu identifizieren.</w:t>
      </w:r>
    </w:p>
    <w:p>
      <w:pPr>
        <w:pStyle w:val="ListParagraph"/>
        <w:numPr>
          <w:ilvl w:val="0"/>
          <w:numId w:val="2"/>
        </w:numPr>
        <w:spacing w:after="80" w:line="300"/>
      </w:pPr>
      <w:r>
        <w:rPr>
          <w:rFonts w:ascii="Arial" w:cs="Arial" w:eastAsia="Arial" w:hAnsi="Arial"/>
          <w:b/>
          <w:bCs/>
          <w:sz w:val="22"/>
          <w:szCs w:val="22"/>
        </w:rPr>
        <w:t xml:space="preserve">Frühe Diagnose:</w:t>
      </w:r>
      <w:r>
        <w:rPr>
          <w:rFonts w:ascii="Arial" w:cs="Arial" w:eastAsia="Arial" w:hAnsi="Arial"/>
          <w:sz w:val="22"/>
          <w:szCs w:val="22"/>
        </w:rPr>
        <w:t xml:space="preserve"> Je früher Cystinurie erkannt wird, desto besser die Prognose und desto geringer der Nierenschaden.</w:t>
      </w:r>
    </w:p>
    <w:p>
      <w:pPr>
        <w:pStyle w:val="ListParagraph"/>
        <w:numPr>
          <w:ilvl w:val="0"/>
          <w:numId w:val="2"/>
        </w:numPr>
        <w:spacing w:after="160" w:line="300"/>
      </w:pPr>
      <w:r>
        <w:rPr>
          <w:rFonts w:ascii="Arial" w:cs="Arial" w:eastAsia="Arial" w:hAnsi="Arial"/>
          <w:b/>
          <w:bCs/>
          <w:sz w:val="22"/>
          <w:szCs w:val="22"/>
        </w:rPr>
        <w:t xml:space="preserve">Thiola-Therapie:</w:t>
      </w:r>
      <w:r>
        <w:rPr>
          <w:rFonts w:ascii="Arial" w:cs="Arial" w:eastAsia="Arial" w:hAnsi="Arial"/>
          <w:sz w:val="22"/>
          <w:szCs w:val="22"/>
        </w:rPr>
        <w:t xml:space="preserve"> Thiola (Tiopronin) als Goldstandard der medikamentösen Cystinstein-Prävention verhindert die Neubildung von Steinen.</w:t>
      </w:r>
    </w:p>
    <w:p>
      <w:pPr>
        <w:pStyle w:val="Heading1"/>
        <w:spacing w:after="180" w:before="360"/>
      </w:pPr>
      <w:r>
        <w:rPr>
          <w:rFonts w:ascii="Arial" w:cs="Arial" w:eastAsia="Arial" w:hAnsi="Arial"/>
          <w:b/>
          <w:bCs/>
          <w:color w:val="1A1A2E"/>
          <w:sz w:val="32"/>
          <w:szCs w:val="32"/>
        </w:rPr>
        <w:t xml:space="preserve">2. Spielmechanik</w:t>
      </w:r>
    </w:p>
    <w:p>
      <w:pPr>
        <w:pStyle w:val="Heading2"/>
        <w:spacing w:after="180" w:before="280"/>
      </w:pPr>
      <w:r>
        <w:rPr>
          <w:rFonts w:ascii="Arial" w:cs="Arial" w:eastAsia="Arial" w:hAnsi="Arial"/>
          <w:b/>
          <w:bCs/>
          <w:color w:val="00B894"/>
          <w:sz w:val="28"/>
          <w:szCs w:val="28"/>
        </w:rPr>
        <w:t xml:space="preserve">2.1 Grundprinzip</w:t>
      </w:r>
    </w:p>
    <w:p>
      <w:pPr>
        <w:spacing w:after="160" w:before="0" w:line="300"/>
        <w:jc w:val="left"/>
      </w:pPr>
      <w:r>
        <w:rPr>
          <w:rFonts w:ascii="Arial" w:cs="Arial" w:eastAsia="Arial" w:hAnsi="Arial"/>
          <w:b w:val="false"/>
          <w:bCs w:val="false"/>
          <w:i w:val="false"/>
          <w:iCs w:val="false"/>
          <w:color w:val="222222"/>
          <w:sz w:val="22"/>
          <w:szCs w:val="22"/>
        </w:rPr>
        <w:t xml:space="preserve">Das Spiel basiert auf dem klassischen Pong-Prinzip: Zwei Schläger (Paddles) auf gegenüberliegenden Seiten schlagen einen Ball hin und her. Der Spieler steuert den linken Schläger per Maus oder Pfeiltasten, der rechte Schläger wird vom Computer (CPU) gesteuert. Wer den Ball am gegnerischen Schläger vorbei ins Tor spielt, erzielt einen Punkt.</w:t>
      </w:r>
    </w:p>
    <w:p>
      <w:pPr>
        <w:pStyle w:val="Heading2"/>
        <w:spacing w:after="180" w:before="280"/>
      </w:pPr>
      <w:r>
        <w:rPr>
          <w:rFonts w:ascii="Arial" w:cs="Arial" w:eastAsia="Arial" w:hAnsi="Arial"/>
          <w:b/>
          <w:bCs/>
          <w:color w:val="00B894"/>
          <w:sz w:val="28"/>
          <w:szCs w:val="28"/>
        </w:rPr>
        <w:t xml:space="preserve">2.2 Das Thiola-Prinzip: Schrumpfende Torlücke</w:t>
      </w:r>
    </w:p>
    <w:p>
      <w:pPr>
        <w:spacing w:after="160" w:before="0" w:line="300"/>
        <w:jc w:val="left"/>
      </w:pPr>
      <w:r>
        <w:rPr>
          <w:rFonts w:ascii="Arial" w:cs="Arial" w:eastAsia="Arial" w:hAnsi="Arial"/>
          <w:b w:val="false"/>
          <w:bCs w:val="false"/>
          <w:i w:val="false"/>
          <w:iCs w:val="false"/>
          <w:color w:val="222222"/>
          <w:sz w:val="22"/>
          <w:szCs w:val="22"/>
        </w:rPr>
        <w:t xml:space="preserve">Die zentrale Spielmechanik ist die </w:t>
      </w:r>
      <w:r>
        <w:rPr>
          <w:rFonts w:ascii="Arial" w:cs="Arial" w:eastAsia="Arial" w:hAnsi="Arial"/>
          <w:b/>
          <w:bCs/>
          <w:i w:val="false"/>
          <w:iCs w:val="false"/>
          <w:color w:val="00B894"/>
          <w:sz w:val="22"/>
          <w:szCs w:val="22"/>
        </w:rPr>
        <w:t xml:space="preserve">Thiola-Mauer</w:t>
      </w:r>
      <w:r>
        <w:rPr>
          <w:rFonts w:ascii="Arial" w:cs="Arial" w:eastAsia="Arial" w:hAnsi="Arial"/>
          <w:b w:val="false"/>
          <w:bCs w:val="false"/>
          <w:i w:val="false"/>
          <w:iCs w:val="false"/>
          <w:color w:val="222222"/>
          <w:sz w:val="22"/>
          <w:szCs w:val="22"/>
        </w:rPr>
        <w:t xml:space="preserve"> auf der Spielerseite (links). Ab Level 2 erscheinen grün leuchtende Wandsegmente mit der Aufschrift </w:t>
      </w:r>
      <w:r>
        <w:rPr>
          <w:rFonts w:ascii="Arial" w:cs="Arial" w:eastAsia="Arial" w:hAnsi="Arial"/>
          <w:b/>
          <w:bCs/>
          <w:i w:val="false"/>
          <w:iCs w:val="false"/>
          <w:color w:val="00B894"/>
          <w:sz w:val="22"/>
          <w:szCs w:val="22"/>
        </w:rPr>
        <w:t xml:space="preserve">„THIOLA“</w:t>
      </w:r>
      <w:r>
        <w:rPr>
          <w:rFonts w:ascii="Arial" w:cs="Arial" w:eastAsia="Arial" w:hAnsi="Arial"/>
          <w:b w:val="false"/>
          <w:bCs w:val="false"/>
          <w:i w:val="false"/>
          <w:iCs w:val="false"/>
          <w:color w:val="222222"/>
          <w:sz w:val="22"/>
          <w:szCs w:val="22"/>
        </w:rPr>
        <w:t xml:space="preserve">, die Teile des Tors blockieren. Der Ball prallt an diesen Wänden ab, anstatt ein Gegentor zu werden.</w:t>
      </w:r>
    </w:p>
    <w:p>
      <w:pPr>
        <w:spacing w:after="160" w:before="0" w:line="300"/>
        <w:jc w:val="left"/>
      </w:pPr>
      <w:r>
        <w:rPr>
          <w:rFonts w:ascii="Arial" w:cs="Arial" w:eastAsia="Arial" w:hAnsi="Arial"/>
          <w:b/>
          <w:bCs/>
          <w:i/>
          <w:iCs/>
          <w:color w:val="222222"/>
          <w:sz w:val="22"/>
          <w:szCs w:val="22"/>
        </w:rPr>
        <w:t xml:space="preserve">Allegorie:</w:t>
      </w:r>
      <w:r>
        <w:rPr>
          <w:rFonts w:ascii="Arial" w:cs="Arial" w:eastAsia="Arial" w:hAnsi="Arial"/>
          <w:b w:val="false"/>
          <w:bCs w:val="false"/>
          <w:i w:val="false"/>
          <w:iCs w:val="false"/>
          <w:color w:val="222222"/>
          <w:sz w:val="22"/>
          <w:szCs w:val="22"/>
        </w:rPr>
        <w:t xml:space="preserve"> So wie die Thiola-Mauern im Spiel das Tor des Spielers zunehmend schützen, senkt Thiola (Tiopronin) in der Realität die Cystinkonzentration im Urin und verhindert die Neubildung von Cystinsteinen.</w:t>
      </w:r>
    </w:p>
    <w:p>
      <w:pPr>
        <w:pStyle w:val="Heading2"/>
        <w:spacing w:after="180" w:before="280"/>
      </w:pPr>
      <w:r>
        <w:rPr>
          <w:rFonts w:ascii="Arial" w:cs="Arial" w:eastAsia="Arial" w:hAnsi="Arial"/>
          <w:b/>
          <w:bCs/>
          <w:color w:val="00B894"/>
          <w:sz w:val="28"/>
          <w:szCs w:val="28"/>
        </w:rPr>
        <w:t xml:space="preserve">2.3 Level-Struktur</w:t>
      </w:r>
    </w:p>
    <w:p>
      <w:pPr>
        <w:spacing w:after="160" w:before="0" w:line="300"/>
        <w:jc w:val="left"/>
      </w:pPr>
      <w:r>
        <w:rPr>
          <w:rFonts w:ascii="Arial" w:cs="Arial" w:eastAsia="Arial" w:hAnsi="Arial"/>
          <w:b w:val="false"/>
          <w:bCs w:val="false"/>
          <w:i w:val="false"/>
          <w:iCs w:val="false"/>
          <w:color w:val="222222"/>
          <w:sz w:val="22"/>
          <w:szCs w:val="22"/>
        </w:rPr>
        <w:t xml:space="preserve">Das Spiel umfasst exakt 3 Level. Pro Level gewinnt, wer zuerst 5 Punkte erzielt.</w:t>
      </w:r>
    </w:p>
    <w:p>
      <w:pPr>
        <w:spacing w:after="0" w:before="8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200"/>
        <w:gridCol w:w="2000"/>
        <w:gridCol w:w="2000"/>
        <w:gridCol w:w="2000"/>
        <w:gridCol w:w="2160"/>
      </w:tblGrid>
      <w:tr>
        <w:tc>
          <w:tcPr>
            <w:tcW w:type="dxa" w:w="1200"/>
            <w:tcBorders>
              <w:top w:val="single" w:color="CCCCCC" w:sz="1"/>
              <w:left w:val="single" w:color="CCCCCC" w:sz="1"/>
              <w:bottom w:val="single" w:color="CCCCCC" w:sz="1"/>
              <w:right w:val="single" w:color="CCCCCC" w:sz="1"/>
            </w:tcBorders>
            <w:shd w:fill="1A1A2E" w:val="clear"/>
            <w:tcMar>
              <w:top w:type="dxa" w:w="100"/>
              <w:left w:type="dxa" w:w="140"/>
              <w:bottom w:type="dxa" w:w="100"/>
              <w:right w:type="dxa" w:w="140"/>
            </w:tcMar>
            <w:vAlign w:val="center"/>
          </w:tcPr>
          <w:p>
            <w:pPr>
              <w:spacing w:after="0" w:line="280"/>
              <w:jc w:val="center"/>
            </w:pPr>
            <w:r>
              <w:rPr>
                <w:rFonts w:ascii="Arial" w:cs="Arial" w:eastAsia="Arial" w:hAnsi="Arial"/>
                <w:b/>
                <w:bCs/>
                <w:color w:val="FFFFFF"/>
                <w:sz w:val="20"/>
                <w:szCs w:val="20"/>
              </w:rPr>
              <w:t xml:space="preserve">Level</w:t>
            </w:r>
          </w:p>
        </w:tc>
        <w:tc>
          <w:tcPr>
            <w:tcW w:type="dxa" w:w="2000"/>
            <w:tcBorders>
              <w:top w:val="single" w:color="CCCCCC" w:sz="1"/>
              <w:left w:val="single" w:color="CCCCCC" w:sz="1"/>
              <w:bottom w:val="single" w:color="CCCCCC" w:sz="1"/>
              <w:right w:val="single" w:color="CCCCCC" w:sz="1"/>
            </w:tcBorders>
            <w:shd w:fill="1A1A2E" w:val="clear"/>
            <w:tcMar>
              <w:top w:type="dxa" w:w="100"/>
              <w:left w:type="dxa" w:w="140"/>
              <w:bottom w:type="dxa" w:w="100"/>
              <w:right w:type="dxa" w:w="140"/>
            </w:tcMar>
            <w:vAlign w:val="center"/>
          </w:tcPr>
          <w:p>
            <w:pPr>
              <w:spacing w:after="0" w:line="280"/>
              <w:jc w:val="center"/>
            </w:pPr>
            <w:r>
              <w:rPr>
                <w:rFonts w:ascii="Arial" w:cs="Arial" w:eastAsia="Arial" w:hAnsi="Arial"/>
                <w:b/>
                <w:bCs/>
                <w:color w:val="FFFFFF"/>
                <w:sz w:val="20"/>
                <w:szCs w:val="20"/>
              </w:rPr>
              <w:t xml:space="preserve">Thiola-Schutz</w:t>
            </w:r>
          </w:p>
        </w:tc>
        <w:tc>
          <w:tcPr>
            <w:tcW w:type="dxa" w:w="2000"/>
            <w:tcBorders>
              <w:top w:val="single" w:color="CCCCCC" w:sz="1"/>
              <w:left w:val="single" w:color="CCCCCC" w:sz="1"/>
              <w:bottom w:val="single" w:color="CCCCCC" w:sz="1"/>
              <w:right w:val="single" w:color="CCCCCC" w:sz="1"/>
            </w:tcBorders>
            <w:shd w:fill="1A1A2E" w:val="clear"/>
            <w:tcMar>
              <w:top w:type="dxa" w:w="100"/>
              <w:left w:type="dxa" w:w="140"/>
              <w:bottom w:type="dxa" w:w="100"/>
              <w:right w:type="dxa" w:w="140"/>
            </w:tcMar>
            <w:vAlign w:val="center"/>
          </w:tcPr>
          <w:p>
            <w:pPr>
              <w:spacing w:after="0" w:line="280"/>
              <w:jc w:val="center"/>
            </w:pPr>
            <w:r>
              <w:rPr>
                <w:rFonts w:ascii="Arial" w:cs="Arial" w:eastAsia="Arial" w:hAnsi="Arial"/>
                <w:b/>
                <w:bCs/>
                <w:color w:val="FFFFFF"/>
                <w:sz w:val="20"/>
                <w:szCs w:val="20"/>
              </w:rPr>
              <w:t xml:space="preserve">Toröffnung</w:t>
            </w:r>
          </w:p>
        </w:tc>
        <w:tc>
          <w:tcPr>
            <w:tcW w:type="dxa" w:w="2000"/>
            <w:tcBorders>
              <w:top w:val="single" w:color="CCCCCC" w:sz="1"/>
              <w:left w:val="single" w:color="CCCCCC" w:sz="1"/>
              <w:bottom w:val="single" w:color="CCCCCC" w:sz="1"/>
              <w:right w:val="single" w:color="CCCCCC" w:sz="1"/>
            </w:tcBorders>
            <w:shd w:fill="1A1A2E" w:val="clear"/>
            <w:tcMar>
              <w:top w:type="dxa" w:w="100"/>
              <w:left w:type="dxa" w:w="140"/>
              <w:bottom w:type="dxa" w:w="100"/>
              <w:right w:type="dxa" w:w="140"/>
            </w:tcMar>
            <w:vAlign w:val="center"/>
          </w:tcPr>
          <w:p>
            <w:pPr>
              <w:spacing w:after="0" w:line="280"/>
              <w:jc w:val="center"/>
            </w:pPr>
            <w:r>
              <w:rPr>
                <w:rFonts w:ascii="Arial" w:cs="Arial" w:eastAsia="Arial" w:hAnsi="Arial"/>
                <w:b/>
                <w:bCs/>
                <w:color w:val="FFFFFF"/>
                <w:sz w:val="20"/>
                <w:szCs w:val="20"/>
              </w:rPr>
              <w:t xml:space="preserve">CPU-Geschw.</w:t>
            </w:r>
          </w:p>
        </w:tc>
        <w:tc>
          <w:tcPr>
            <w:tcW w:type="dxa" w:w="2160"/>
            <w:tcBorders>
              <w:top w:val="single" w:color="CCCCCC" w:sz="1"/>
              <w:left w:val="single" w:color="CCCCCC" w:sz="1"/>
              <w:bottom w:val="single" w:color="CCCCCC" w:sz="1"/>
              <w:right w:val="single" w:color="CCCCCC" w:sz="1"/>
            </w:tcBorders>
            <w:shd w:fill="1A1A2E" w:val="clear"/>
            <w:tcMar>
              <w:top w:type="dxa" w:w="100"/>
              <w:left w:type="dxa" w:w="140"/>
              <w:bottom w:type="dxa" w:w="100"/>
              <w:right w:type="dxa" w:w="140"/>
            </w:tcMar>
            <w:vAlign w:val="center"/>
          </w:tcPr>
          <w:p>
            <w:pPr>
              <w:spacing w:after="0" w:line="280"/>
              <w:jc w:val="center"/>
            </w:pPr>
            <w:r>
              <w:rPr>
                <w:rFonts w:ascii="Arial" w:cs="Arial" w:eastAsia="Arial" w:hAnsi="Arial"/>
                <w:b/>
                <w:bCs/>
                <w:color w:val="FFFFFF"/>
                <w:sz w:val="20"/>
                <w:szCs w:val="20"/>
              </w:rPr>
              <w:t xml:space="preserve">Schwierigkeit</w:t>
            </w:r>
          </w:p>
        </w:tc>
      </w:tr>
      <w:tr>
        <w:tc>
          <w:tcPr>
            <w:tcW w:type="dxa" w:w="1200"/>
            <w:tcBorders>
              <w:top w:val="single" w:color="CCCCCC" w:sz="1"/>
              <w:left w:val="single" w:color="CCCCCC" w:sz="1"/>
              <w:bottom w:val="single" w:color="CCCCCC" w:sz="1"/>
              <w:right w:val="single" w:color="CCCCCC" w:sz="1"/>
            </w:tcBorders>
            <w:shd w:fill="F5F5F5" w:val="clear"/>
            <w:tcMar>
              <w:top w:type="dxa" w:w="100"/>
              <w:left w:type="dxa" w:w="140"/>
              <w:bottom w:type="dxa" w:w="100"/>
              <w:right w:type="dxa" w:w="140"/>
            </w:tcMar>
            <w:vAlign w:val="center"/>
          </w:tcPr>
          <w:p>
            <w:pPr>
              <w:spacing w:after="0" w:line="280"/>
              <w:jc w:val="center"/>
            </w:pPr>
            <w:r>
              <w:rPr>
                <w:rFonts w:ascii="Arial" w:cs="Arial" w:eastAsia="Arial" w:hAnsi="Arial"/>
                <w:b/>
                <w:bCs/>
                <w:color w:val="222222"/>
                <w:sz w:val="20"/>
                <w:szCs w:val="20"/>
              </w:rPr>
              <w:t xml:space="preserve">1</w:t>
            </w:r>
          </w:p>
        </w:tc>
        <w:tc>
          <w:tcPr>
            <w:tcW w:type="dxa" w:w="2000"/>
            <w:tcBorders>
              <w:top w:val="single" w:color="CCCCCC" w:sz="1"/>
              <w:left w:val="single" w:color="CCCCCC" w:sz="1"/>
              <w:bottom w:val="single" w:color="CCCCCC" w:sz="1"/>
              <w:right w:val="single" w:color="CCCCCC" w:sz="1"/>
            </w:tcBorders>
            <w:shd w:fill="F5F5F5" w:val="clear"/>
            <w:tcMar>
              <w:top w:type="dxa" w:w="100"/>
              <w:left w:type="dxa" w:w="140"/>
              <w:bottom w:type="dxa" w:w="100"/>
              <w:right w:type="dxa" w:w="140"/>
            </w:tcMar>
            <w:vAlign w:val="center"/>
          </w:tcPr>
          <w:p>
            <w:pPr>
              <w:spacing w:after="0" w:line="280"/>
              <w:jc w:val="center"/>
            </w:pPr>
            <w:r>
              <w:rPr>
                <w:rFonts w:ascii="Arial" w:cs="Arial" w:eastAsia="Arial" w:hAnsi="Arial"/>
                <w:b w:val="false"/>
                <w:bCs w:val="false"/>
                <w:color w:val="222222"/>
                <w:sz w:val="20"/>
                <w:szCs w:val="20"/>
              </w:rPr>
              <w:t xml:space="preserve">0%</w:t>
            </w:r>
          </w:p>
        </w:tc>
        <w:tc>
          <w:tcPr>
            <w:tcW w:type="dxa" w:w="2000"/>
            <w:tcBorders>
              <w:top w:val="single" w:color="CCCCCC" w:sz="1"/>
              <w:left w:val="single" w:color="CCCCCC" w:sz="1"/>
              <w:bottom w:val="single" w:color="CCCCCC" w:sz="1"/>
              <w:right w:val="single" w:color="CCCCCC" w:sz="1"/>
            </w:tcBorders>
            <w:shd w:fill="F5F5F5" w:val="clear"/>
            <w:tcMar>
              <w:top w:type="dxa" w:w="100"/>
              <w:left w:type="dxa" w:w="140"/>
              <w:bottom w:type="dxa" w:w="100"/>
              <w:right w:type="dxa" w:w="140"/>
            </w:tcMar>
            <w:vAlign w:val="center"/>
          </w:tcPr>
          <w:p>
            <w:pPr>
              <w:spacing w:after="0" w:line="280"/>
              <w:jc w:val="center"/>
            </w:pPr>
            <w:r>
              <w:rPr>
                <w:rFonts w:ascii="Arial" w:cs="Arial" w:eastAsia="Arial" w:hAnsi="Arial"/>
                <w:b w:val="false"/>
                <w:bCs w:val="false"/>
                <w:color w:val="222222"/>
                <w:sz w:val="20"/>
                <w:szCs w:val="20"/>
              </w:rPr>
              <w:t xml:space="preserve">100%</w:t>
            </w:r>
          </w:p>
        </w:tc>
        <w:tc>
          <w:tcPr>
            <w:tcW w:type="dxa" w:w="2000"/>
            <w:tcBorders>
              <w:top w:val="single" w:color="CCCCCC" w:sz="1"/>
              <w:left w:val="single" w:color="CCCCCC" w:sz="1"/>
              <w:bottom w:val="single" w:color="CCCCCC" w:sz="1"/>
              <w:right w:val="single" w:color="CCCCCC" w:sz="1"/>
            </w:tcBorders>
            <w:shd w:fill="F5F5F5" w:val="clear"/>
            <w:tcMar>
              <w:top w:type="dxa" w:w="100"/>
              <w:left w:type="dxa" w:w="140"/>
              <w:bottom w:type="dxa" w:w="100"/>
              <w:right w:type="dxa" w:w="140"/>
            </w:tcMar>
            <w:vAlign w:val="center"/>
          </w:tcPr>
          <w:p>
            <w:pPr>
              <w:spacing w:after="0" w:line="280"/>
              <w:jc w:val="center"/>
            </w:pPr>
            <w:r>
              <w:rPr>
                <w:rFonts w:ascii="Arial" w:cs="Arial" w:eastAsia="Arial" w:hAnsi="Arial"/>
                <w:b w:val="false"/>
                <w:bCs w:val="false"/>
                <w:color w:val="222222"/>
                <w:sz w:val="20"/>
                <w:szCs w:val="20"/>
              </w:rPr>
              <w:t xml:space="preserve">1.6 (langsam)</w:t>
            </w:r>
          </w:p>
        </w:tc>
        <w:tc>
          <w:tcPr>
            <w:tcW w:type="dxa" w:w="2160"/>
            <w:tcBorders>
              <w:top w:val="single" w:color="CCCCCC" w:sz="1"/>
              <w:left w:val="single" w:color="CCCCCC" w:sz="1"/>
              <w:bottom w:val="single" w:color="CCCCCC" w:sz="1"/>
              <w:right w:val="single" w:color="CCCCCC" w:sz="1"/>
            </w:tcBorders>
            <w:shd w:fill="F5F5F5" w:val="clear"/>
            <w:tcMar>
              <w:top w:type="dxa" w:w="100"/>
              <w:left w:type="dxa" w:w="140"/>
              <w:bottom w:type="dxa" w:w="100"/>
              <w:right w:type="dxa" w:w="140"/>
            </w:tcMar>
            <w:vAlign w:val="center"/>
          </w:tcPr>
          <w:p>
            <w:pPr>
              <w:spacing w:after="0" w:line="280"/>
              <w:jc w:val="center"/>
            </w:pPr>
            <w:r>
              <w:rPr>
                <w:rFonts w:ascii="Arial" w:cs="Arial" w:eastAsia="Arial" w:hAnsi="Arial"/>
                <w:b w:val="false"/>
                <w:bCs w:val="false"/>
                <w:color w:val="222222"/>
                <w:sz w:val="20"/>
                <w:szCs w:val="20"/>
              </w:rPr>
              <w:t xml:space="preserve">Sehr leicht</w:t>
            </w:r>
          </w:p>
        </w:tc>
      </w:tr>
      <w:tr>
        <w:tc>
          <w:tcPr>
            <w:tcW w:type="dxa" w:w="12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vAlign w:val="center"/>
          </w:tcPr>
          <w:p>
            <w:pPr>
              <w:spacing w:after="0" w:line="280"/>
              <w:jc w:val="center"/>
            </w:pPr>
            <w:r>
              <w:rPr>
                <w:rFonts w:ascii="Arial" w:cs="Arial" w:eastAsia="Arial" w:hAnsi="Arial"/>
                <w:b/>
                <w:bCs/>
                <w:color w:val="222222"/>
                <w:sz w:val="20"/>
                <w:szCs w:val="20"/>
              </w:rPr>
              <w:t xml:space="preserve">2</w:t>
            </w:r>
          </w:p>
        </w:tc>
        <w:tc>
          <w:tcPr>
            <w:tcW w:type="dxa" w:w="2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vAlign w:val="center"/>
          </w:tcPr>
          <w:p>
            <w:pPr>
              <w:spacing w:after="0" w:line="280"/>
              <w:jc w:val="center"/>
            </w:pPr>
            <w:r>
              <w:rPr>
                <w:rFonts w:ascii="Arial" w:cs="Arial" w:eastAsia="Arial" w:hAnsi="Arial"/>
                <w:b w:val="false"/>
                <w:bCs w:val="false"/>
                <w:color w:val="00B894"/>
                <w:sz w:val="20"/>
                <w:szCs w:val="20"/>
              </w:rPr>
              <w:t xml:space="preserve">40%</w:t>
            </w:r>
          </w:p>
        </w:tc>
        <w:tc>
          <w:tcPr>
            <w:tcW w:type="dxa" w:w="2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vAlign w:val="center"/>
          </w:tcPr>
          <w:p>
            <w:pPr>
              <w:spacing w:after="0" w:line="280"/>
              <w:jc w:val="center"/>
            </w:pPr>
            <w:r>
              <w:rPr>
                <w:rFonts w:ascii="Arial" w:cs="Arial" w:eastAsia="Arial" w:hAnsi="Arial"/>
                <w:b w:val="false"/>
                <w:bCs w:val="false"/>
                <w:color w:val="222222"/>
                <w:sz w:val="20"/>
                <w:szCs w:val="20"/>
              </w:rPr>
              <w:t xml:space="preserve">60%</w:t>
            </w:r>
          </w:p>
        </w:tc>
        <w:tc>
          <w:tcPr>
            <w:tcW w:type="dxa" w:w="2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vAlign w:val="center"/>
          </w:tcPr>
          <w:p>
            <w:pPr>
              <w:spacing w:after="0" w:line="280"/>
              <w:jc w:val="center"/>
            </w:pPr>
            <w:r>
              <w:rPr>
                <w:rFonts w:ascii="Arial" w:cs="Arial" w:eastAsia="Arial" w:hAnsi="Arial"/>
                <w:b w:val="false"/>
                <w:bCs w:val="false"/>
                <w:color w:val="222222"/>
                <w:sz w:val="20"/>
                <w:szCs w:val="20"/>
              </w:rPr>
              <w:t xml:space="preserve">3.0 (mittel)</w:t>
            </w:r>
          </w:p>
        </w:tc>
        <w:tc>
          <w:tcPr>
            <w:tcW w:type="dxa" w:w="21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vAlign w:val="center"/>
          </w:tcPr>
          <w:p>
            <w:pPr>
              <w:spacing w:after="0" w:line="280"/>
              <w:jc w:val="center"/>
            </w:pPr>
            <w:r>
              <w:rPr>
                <w:rFonts w:ascii="Arial" w:cs="Arial" w:eastAsia="Arial" w:hAnsi="Arial"/>
                <w:b w:val="false"/>
                <w:bCs w:val="false"/>
                <w:color w:val="222222"/>
                <w:sz w:val="20"/>
                <w:szCs w:val="20"/>
              </w:rPr>
              <w:t xml:space="preserve">Mittel</w:t>
            </w:r>
          </w:p>
        </w:tc>
      </w:tr>
      <w:tr>
        <w:tc>
          <w:tcPr>
            <w:tcW w:type="dxa" w:w="1200"/>
            <w:tcBorders>
              <w:top w:val="single" w:color="CCCCCC" w:sz="1"/>
              <w:left w:val="single" w:color="CCCCCC" w:sz="1"/>
              <w:bottom w:val="single" w:color="CCCCCC" w:sz="1"/>
              <w:right w:val="single" w:color="CCCCCC" w:sz="1"/>
            </w:tcBorders>
            <w:shd w:fill="F5F5F5" w:val="clear"/>
            <w:tcMar>
              <w:top w:type="dxa" w:w="100"/>
              <w:left w:type="dxa" w:w="140"/>
              <w:bottom w:type="dxa" w:w="100"/>
              <w:right w:type="dxa" w:w="140"/>
            </w:tcMar>
            <w:vAlign w:val="center"/>
          </w:tcPr>
          <w:p>
            <w:pPr>
              <w:spacing w:after="0" w:line="280"/>
              <w:jc w:val="center"/>
            </w:pPr>
            <w:r>
              <w:rPr>
                <w:rFonts w:ascii="Arial" w:cs="Arial" w:eastAsia="Arial" w:hAnsi="Arial"/>
                <w:b/>
                <w:bCs/>
                <w:color w:val="222222"/>
                <w:sz w:val="20"/>
                <w:szCs w:val="20"/>
              </w:rPr>
              <w:t xml:space="preserve">3</w:t>
            </w:r>
          </w:p>
        </w:tc>
        <w:tc>
          <w:tcPr>
            <w:tcW w:type="dxa" w:w="2000"/>
            <w:tcBorders>
              <w:top w:val="single" w:color="CCCCCC" w:sz="1"/>
              <w:left w:val="single" w:color="CCCCCC" w:sz="1"/>
              <w:bottom w:val="single" w:color="CCCCCC" w:sz="1"/>
              <w:right w:val="single" w:color="CCCCCC" w:sz="1"/>
            </w:tcBorders>
            <w:shd w:fill="F5F5F5" w:val="clear"/>
            <w:tcMar>
              <w:top w:type="dxa" w:w="100"/>
              <w:left w:type="dxa" w:w="140"/>
              <w:bottom w:type="dxa" w:w="100"/>
              <w:right w:type="dxa" w:w="140"/>
            </w:tcMar>
            <w:vAlign w:val="center"/>
          </w:tcPr>
          <w:p>
            <w:pPr>
              <w:spacing w:after="0" w:line="280"/>
              <w:jc w:val="center"/>
            </w:pPr>
            <w:r>
              <w:rPr>
                <w:rFonts w:ascii="Arial" w:cs="Arial" w:eastAsia="Arial" w:hAnsi="Arial"/>
                <w:b w:val="false"/>
                <w:bCs w:val="false"/>
                <w:color w:val="00B894"/>
                <w:sz w:val="20"/>
                <w:szCs w:val="20"/>
              </w:rPr>
              <w:t xml:space="preserve">70%</w:t>
            </w:r>
          </w:p>
        </w:tc>
        <w:tc>
          <w:tcPr>
            <w:tcW w:type="dxa" w:w="2000"/>
            <w:tcBorders>
              <w:top w:val="single" w:color="CCCCCC" w:sz="1"/>
              <w:left w:val="single" w:color="CCCCCC" w:sz="1"/>
              <w:bottom w:val="single" w:color="CCCCCC" w:sz="1"/>
              <w:right w:val="single" w:color="CCCCCC" w:sz="1"/>
            </w:tcBorders>
            <w:shd w:fill="F5F5F5" w:val="clear"/>
            <w:tcMar>
              <w:top w:type="dxa" w:w="100"/>
              <w:left w:type="dxa" w:w="140"/>
              <w:bottom w:type="dxa" w:w="100"/>
              <w:right w:type="dxa" w:w="140"/>
            </w:tcMar>
            <w:vAlign w:val="center"/>
          </w:tcPr>
          <w:p>
            <w:pPr>
              <w:spacing w:after="0" w:line="280"/>
              <w:jc w:val="center"/>
            </w:pPr>
            <w:r>
              <w:rPr>
                <w:rFonts w:ascii="Arial" w:cs="Arial" w:eastAsia="Arial" w:hAnsi="Arial"/>
                <w:b w:val="false"/>
                <w:bCs w:val="false"/>
                <w:color w:val="222222"/>
                <w:sz w:val="20"/>
                <w:szCs w:val="20"/>
              </w:rPr>
              <w:t xml:space="preserve">30%</w:t>
            </w:r>
          </w:p>
        </w:tc>
        <w:tc>
          <w:tcPr>
            <w:tcW w:type="dxa" w:w="2000"/>
            <w:tcBorders>
              <w:top w:val="single" w:color="CCCCCC" w:sz="1"/>
              <w:left w:val="single" w:color="CCCCCC" w:sz="1"/>
              <w:bottom w:val="single" w:color="CCCCCC" w:sz="1"/>
              <w:right w:val="single" w:color="CCCCCC" w:sz="1"/>
            </w:tcBorders>
            <w:shd w:fill="F5F5F5" w:val="clear"/>
            <w:tcMar>
              <w:top w:type="dxa" w:w="100"/>
              <w:left w:type="dxa" w:w="140"/>
              <w:bottom w:type="dxa" w:w="100"/>
              <w:right w:type="dxa" w:w="140"/>
            </w:tcMar>
            <w:vAlign w:val="center"/>
          </w:tcPr>
          <w:p>
            <w:pPr>
              <w:spacing w:after="0" w:line="280"/>
              <w:jc w:val="center"/>
            </w:pPr>
            <w:r>
              <w:rPr>
                <w:rFonts w:ascii="Arial" w:cs="Arial" w:eastAsia="Arial" w:hAnsi="Arial"/>
                <w:b w:val="false"/>
                <w:bCs w:val="false"/>
                <w:color w:val="222222"/>
                <w:sz w:val="20"/>
                <w:szCs w:val="20"/>
              </w:rPr>
              <w:t xml:space="preserve">3.8 (schnell)</w:t>
            </w:r>
          </w:p>
        </w:tc>
        <w:tc>
          <w:tcPr>
            <w:tcW w:type="dxa" w:w="2160"/>
            <w:tcBorders>
              <w:top w:val="single" w:color="CCCCCC" w:sz="1"/>
              <w:left w:val="single" w:color="CCCCCC" w:sz="1"/>
              <w:bottom w:val="single" w:color="CCCCCC" w:sz="1"/>
              <w:right w:val="single" w:color="CCCCCC" w:sz="1"/>
            </w:tcBorders>
            <w:shd w:fill="F5F5F5" w:val="clear"/>
            <w:tcMar>
              <w:top w:type="dxa" w:w="100"/>
              <w:left w:type="dxa" w:w="140"/>
              <w:bottom w:type="dxa" w:w="100"/>
              <w:right w:type="dxa" w:w="140"/>
            </w:tcMar>
            <w:vAlign w:val="center"/>
          </w:tcPr>
          <w:p>
            <w:pPr>
              <w:spacing w:after="0" w:line="280"/>
              <w:jc w:val="center"/>
            </w:pPr>
            <w:r>
              <w:rPr>
                <w:rFonts w:ascii="Arial" w:cs="Arial" w:eastAsia="Arial" w:hAnsi="Arial"/>
                <w:b w:val="false"/>
                <w:bCs w:val="false"/>
                <w:color w:val="222222"/>
                <w:sz w:val="20"/>
                <w:szCs w:val="20"/>
              </w:rPr>
              <w:t xml:space="preserve">Schwer</w:t>
            </w:r>
          </w:p>
        </w:tc>
      </w:tr>
    </w:tbl>
    <w:p>
      <w:pPr>
        <w:spacing w:after="0" w:before="120"/>
      </w:pPr>
    </w:p>
    <w:p>
      <w:pPr>
        <w:pStyle w:val="Heading2"/>
        <w:spacing w:after="180" w:before="280"/>
      </w:pPr>
      <w:r>
        <w:rPr>
          <w:rFonts w:ascii="Arial" w:cs="Arial" w:eastAsia="Arial" w:hAnsi="Arial"/>
          <w:b/>
          <w:bCs/>
          <w:color w:val="00B894"/>
          <w:sz w:val="28"/>
          <w:szCs w:val="28"/>
        </w:rPr>
        <w:t xml:space="preserve">2.4 Level-Übergänge</w:t>
      </w:r>
    </w:p>
    <w:p>
      <w:pPr>
        <w:spacing w:after="160" w:before="0" w:line="300"/>
        <w:jc w:val="left"/>
      </w:pPr>
      <w:r>
        <w:rPr>
          <w:rFonts w:ascii="Arial" w:cs="Arial" w:eastAsia="Arial" w:hAnsi="Arial"/>
          <w:b/>
          <w:bCs/>
          <w:i w:val="false"/>
          <w:iCs w:val="false"/>
          <w:color w:val="222222"/>
          <w:sz w:val="22"/>
          <w:szCs w:val="22"/>
        </w:rPr>
        <w:t xml:space="preserve">Nach Level 1:</w:t>
      </w:r>
      <w:r>
        <w:rPr>
          <w:rFonts w:ascii="Arial" w:cs="Arial" w:eastAsia="Arial" w:hAnsi="Arial"/>
          <w:b w:val="false"/>
          <w:bCs w:val="false"/>
          <w:i w:val="false"/>
          <w:iCs w:val="false"/>
          <w:color w:val="222222"/>
          <w:sz w:val="22"/>
          <w:szCs w:val="22"/>
        </w:rPr>
        <w:t xml:space="preserve"> Ein spezieller Einführungsbildschirm stellt Thiola als „Verstärkung“ vor. Der Spieler erfährt, dass Thiola-Wände ab jetzt sein Tor schützen werden. Button: „MIT THIOLA WEITERSPIELEN“.</w:t>
      </w:r>
    </w:p>
    <w:p>
      <w:pPr>
        <w:spacing w:after="160" w:before="0" w:line="300"/>
        <w:jc w:val="left"/>
      </w:pPr>
      <w:r>
        <w:rPr>
          <w:rFonts w:ascii="Arial" w:cs="Arial" w:eastAsia="Arial" w:hAnsi="Arial"/>
          <w:b/>
          <w:bCs/>
          <w:i w:val="false"/>
          <w:iCs w:val="false"/>
          <w:color w:val="222222"/>
          <w:sz w:val="22"/>
          <w:szCs w:val="22"/>
        </w:rPr>
        <w:t xml:space="preserve">Nach Level 2:</w:t>
      </w:r>
      <w:r>
        <w:rPr>
          <w:rFonts w:ascii="Arial" w:cs="Arial" w:eastAsia="Arial" w:hAnsi="Arial"/>
          <w:b w:val="false"/>
          <w:bCs w:val="false"/>
          <w:i w:val="false"/>
          <w:iCs w:val="false"/>
          <w:color w:val="222222"/>
          <w:sz w:val="22"/>
          <w:szCs w:val="22"/>
        </w:rPr>
        <w:t xml:space="preserve"> Ein Screen informiert, dass Thiola den Schutz auf 70% verstärkt. Botschaft: „Konsequente Therapie = maximaler Schutz.“ Button: „THIOLA-SCHUTZ MAXIMIEREN“.</w:t>
      </w:r>
    </w:p>
    <w:p>
      <w:pPr>
        <w:spacing w:after="160" w:before="0" w:line="300"/>
        <w:jc w:val="left"/>
      </w:pPr>
      <w:r>
        <w:rPr>
          <w:rFonts w:ascii="Arial" w:cs="Arial" w:eastAsia="Arial" w:hAnsi="Arial"/>
          <w:b/>
          <w:bCs/>
          <w:i w:val="false"/>
          <w:iCs w:val="false"/>
          <w:color w:val="222222"/>
          <w:sz w:val="22"/>
          <w:szCs w:val="22"/>
        </w:rPr>
        <w:t xml:space="preserve">Nach Level 3 (Sieg):</w:t>
      </w:r>
      <w:r>
        <w:rPr>
          <w:rFonts w:ascii="Arial" w:cs="Arial" w:eastAsia="Arial" w:hAnsi="Arial"/>
          <w:b w:val="false"/>
          <w:bCs w:val="false"/>
          <w:i w:val="false"/>
          <w:iCs w:val="false"/>
          <w:color w:val="222222"/>
          <w:sz w:val="22"/>
          <w:szCs w:val="22"/>
        </w:rPr>
        <w:t xml:space="preserve"> Ein Abschlussscreen zeigt den Dreiklang „Steinanalyse → Diagnose → Thiola“ mit der Botschaft: „Jeder Stein verdient eine Analyse.“</w:t>
      </w:r>
    </w:p>
    <w:p>
      <w:pPr>
        <w:spacing w:after="160" w:before="0" w:line="300"/>
        <w:jc w:val="left"/>
      </w:pPr>
      <w:r>
        <w:rPr>
          <w:rFonts w:ascii="Arial" w:cs="Arial" w:eastAsia="Arial" w:hAnsi="Arial"/>
          <w:b/>
          <w:bCs/>
          <w:i w:val="false"/>
          <w:iCs w:val="false"/>
          <w:color w:val="222222"/>
          <w:sz w:val="22"/>
          <w:szCs w:val="22"/>
        </w:rPr>
        <w:t xml:space="preserve">Bei Niederlage:</w:t>
      </w:r>
      <w:r>
        <w:rPr>
          <w:rFonts w:ascii="Arial" w:cs="Arial" w:eastAsia="Arial" w:hAnsi="Arial"/>
          <w:b w:val="false"/>
          <w:bCs w:val="false"/>
          <w:i w:val="false"/>
          <w:iCs w:val="false"/>
          <w:color w:val="222222"/>
          <w:sz w:val="22"/>
          <w:szCs w:val="22"/>
        </w:rPr>
        <w:t xml:space="preserve"> Motivierender Screen mit der Analogie: „Auch bei Cystinurie gilt: konsequente Therapie ist der Schlüssel.“ Neustart ab Level 1.</w:t>
      </w:r>
    </w:p>
    <w:p>
      <w:pPr>
        <w:pStyle w:val="Heading2"/>
        <w:spacing w:after="180" w:before="280"/>
      </w:pPr>
      <w:r>
        <w:rPr>
          <w:rFonts w:ascii="Arial" w:cs="Arial" w:eastAsia="Arial" w:hAnsi="Arial"/>
          <w:b/>
          <w:bCs/>
          <w:color w:val="00B894"/>
          <w:sz w:val="28"/>
          <w:szCs w:val="28"/>
        </w:rPr>
        <w:t xml:space="preserve">2.5 Spielmodi</w:t>
      </w:r>
    </w:p>
    <w:p>
      <w:pPr>
        <w:spacing w:after="160" w:before="0" w:line="300"/>
        <w:jc w:val="left"/>
      </w:pPr>
      <w:r>
        <w:rPr>
          <w:rFonts w:ascii="Arial" w:cs="Arial" w:eastAsia="Arial" w:hAnsi="Arial"/>
          <w:b w:val="false"/>
          <w:bCs w:val="false"/>
          <w:i w:val="false"/>
          <w:iCs w:val="false"/>
          <w:color w:val="222222"/>
          <w:sz w:val="22"/>
          <w:szCs w:val="22"/>
        </w:rPr>
        <w:t xml:space="preserve">Beim Spielstart wählt der Spieler zwischen zwei Modi, die unterschiedliche Einsatzszenarien am Messestand abdecken:</w:t>
      </w:r>
    </w:p>
    <w:p>
      <w:pPr>
        <w:spacing w:after="160" w:before="0" w:line="300"/>
        <w:jc w:val="left"/>
      </w:pPr>
      <w:r>
        <w:rPr>
          <w:rFonts w:ascii="Arial" w:cs="Arial" w:eastAsia="Arial" w:hAnsi="Arial"/>
          <w:b/>
          <w:bCs/>
          <w:i w:val="false"/>
          <w:iCs w:val="false"/>
          <w:color w:val="00B894"/>
          <w:sz w:val="22"/>
          <w:szCs w:val="22"/>
        </w:rPr>
        <w:t xml:space="preserve">Spieler vs. CPU:</w:t>
      </w:r>
      <w:r>
        <w:rPr>
          <w:rFonts w:ascii="Arial" w:cs="Arial" w:eastAsia="Arial" w:hAnsi="Arial"/>
          <w:b w:val="false"/>
          <w:bCs w:val="false"/>
          <w:i w:val="false"/>
          <w:iCs w:val="false"/>
          <w:color w:val="222222"/>
          <w:sz w:val="22"/>
          <w:szCs w:val="22"/>
        </w:rPr>
        <w:t xml:space="preserve"> Der klassische Einzelspieler-Modus. Ein Standbesucher spielt allein gegen die computergesteuerte Gegnerseite. Die CPU-Geschwindigkeit steigt von Level zu Level (1.6 → 3.0 → 3.8). Steuerung: Maus oder W/S/Pfeiltasten.</w:t>
      </w:r>
    </w:p>
    <w:p>
      <w:pPr>
        <w:spacing w:after="160" w:before="0" w:line="300"/>
        <w:jc w:val="left"/>
      </w:pPr>
      <w:r>
        <w:rPr>
          <w:rFonts w:ascii="Arial" w:cs="Arial" w:eastAsia="Arial" w:hAnsi="Arial"/>
          <w:b/>
          <w:bCs/>
          <w:i w:val="false"/>
          <w:iCs w:val="false"/>
          <w:color w:val="00B894"/>
          <w:sz w:val="22"/>
          <w:szCs w:val="22"/>
        </w:rPr>
        <w:t xml:space="preserve">Spieler vs. Spieler:</w:t>
      </w:r>
      <w:r>
        <w:rPr>
          <w:rFonts w:ascii="Arial" w:cs="Arial" w:eastAsia="Arial" w:hAnsi="Arial"/>
          <w:b w:val="false"/>
          <w:bCs w:val="false"/>
          <w:i w:val="false"/>
          <w:iCs w:val="false"/>
          <w:color w:val="222222"/>
          <w:sz w:val="22"/>
          <w:szCs w:val="22"/>
        </w:rPr>
        <w:t xml:space="preserve"> Zwei Standbesucher treten gegeneinander an. Spieler 1 (links) übernimmt die Rolle des „geschützten“ Spielers, dessen Tor ab Level 2 zunehmend von Thiola-Wänden geschützt wird. Spieler 2 (rechts) muss versuchen, den Ball durch die schrumpfende Lücke zu spielen — eine zunehmend anspruchsvolle Aufgabe. Steuerung: Spieler 1 mit W/S, Spieler 2 mit Pfeiltasten.</w:t>
      </w:r>
    </w:p>
    <w:p>
      <w:pPr>
        <w:spacing w:after="160" w:before="0" w:line="300"/>
        <w:jc w:val="left"/>
      </w:pPr>
      <w:r>
        <w:rPr>
          <w:rFonts w:ascii="Arial" w:cs="Arial" w:eastAsia="Arial" w:hAnsi="Arial"/>
          <w:b/>
          <w:bCs/>
          <w:i/>
          <w:iCs/>
          <w:color w:val="222222"/>
          <w:sz w:val="22"/>
          <w:szCs w:val="22"/>
        </w:rPr>
        <w:t xml:space="preserve">Edukativer Mehrwert des PvP-Modus:</w:t>
      </w:r>
      <w:r>
        <w:rPr>
          <w:rFonts w:ascii="Arial" w:cs="Arial" w:eastAsia="Arial" w:hAnsi="Arial"/>
          <w:b w:val="false"/>
          <w:bCs w:val="false"/>
          <w:i w:val="false"/>
          <w:iCs w:val="false"/>
          <w:color w:val="222222"/>
          <w:sz w:val="22"/>
          <w:szCs w:val="22"/>
        </w:rPr>
        <w:t xml:space="preserve"> Im Zwei-Spieler-Modus erleben beide Teilnehmer die Schutzwirkung von Thiola unmittelbar — der eine als zunehmend geschützter Spieler, der andere als frustrierter Angreifer, der die Wirkung der „Therapie“ am eigenen Leib erfährt. Diese mechanische Allegorie macht die Botschaft besonders einprägsam und animiert zum gemeinsamen Spielen mehrerer Standbesucher.</w:t>
      </w:r>
    </w:p>
    <w:p>
      <w:pPr>
        <w:spacing w:after="160" w:before="0" w:line="300"/>
        <w:jc w:val="left"/>
      </w:pPr>
      <w:r>
        <w:rPr>
          <w:rFonts w:ascii="Arial" w:cs="Arial" w:eastAsia="Arial" w:hAnsi="Arial"/>
          <w:b w:val="false"/>
          <w:bCs w:val="false"/>
          <w:i/>
          <w:iCs/>
          <w:color w:val="555555"/>
          <w:sz w:val="22"/>
          <w:szCs w:val="22"/>
        </w:rPr>
        <w:t xml:space="preserve">Beide Modi nutzen identische Edukations-Einblendungen</w:t>
      </w:r>
      <w:r>
        <w:rPr>
          <w:rFonts w:ascii="Arial" w:cs="Arial" w:eastAsia="Arial" w:hAnsi="Arial"/>
          <w:b w:val="false"/>
          <w:bCs w:val="false"/>
          <w:i w:val="false"/>
          <w:iCs w:val="false"/>
          <w:color w:val="555555"/>
          <w:sz w:val="22"/>
          <w:szCs w:val="22"/>
        </w:rPr>
        <w:t xml:space="preserve"> bei jedem Tor und durchlaufen die gleiche Level-Progression mit Thiola-Mauer.</w:t>
      </w:r>
    </w:p>
    <w:p>
      <w:pPr>
        <w:pStyle w:val="Heading1"/>
        <w:spacing w:after="180" w:before="360"/>
      </w:pPr>
      <w:r>
        <w:rPr>
          <w:rFonts w:ascii="Arial" w:cs="Arial" w:eastAsia="Arial" w:hAnsi="Arial"/>
          <w:b/>
          <w:bCs/>
          <w:color w:val="1A1A2E"/>
          <w:sz w:val="32"/>
          <w:szCs w:val="32"/>
        </w:rPr>
        <w:t xml:space="preserve">3. Edukations-System: Tor-Einblendungen</w:t>
      </w:r>
    </w:p>
    <w:p>
      <w:pPr>
        <w:spacing w:after="160" w:before="0" w:line="300"/>
        <w:jc w:val="left"/>
      </w:pPr>
      <w:r>
        <w:rPr>
          <w:rFonts w:ascii="Arial" w:cs="Arial" w:eastAsia="Arial" w:hAnsi="Arial"/>
          <w:b w:val="false"/>
          <w:bCs w:val="false"/>
          <w:i w:val="false"/>
          <w:iCs w:val="false"/>
          <w:color w:val="222222"/>
          <w:sz w:val="22"/>
          <w:szCs w:val="22"/>
        </w:rPr>
        <w:t xml:space="preserve">Das zentrale Edukations-Element sind </w:t>
      </w:r>
      <w:r>
        <w:rPr>
          <w:rFonts w:ascii="Arial" w:cs="Arial" w:eastAsia="Arial" w:hAnsi="Arial"/>
          <w:b/>
          <w:bCs/>
          <w:i w:val="false"/>
          <w:iCs w:val="false"/>
          <w:color w:val="222222"/>
          <w:sz w:val="22"/>
          <w:szCs w:val="22"/>
        </w:rPr>
        <w:t xml:space="preserve">Einblendungen bei jedem einzelnen Tor</w:t>
      </w:r>
      <w:r>
        <w:rPr>
          <w:rFonts w:ascii="Arial" w:cs="Arial" w:eastAsia="Arial" w:hAnsi="Arial"/>
          <w:b w:val="false"/>
          <w:bCs w:val="false"/>
          <w:i w:val="false"/>
          <w:iCs w:val="false"/>
          <w:color w:val="222222"/>
          <w:sz w:val="22"/>
          <w:szCs w:val="22"/>
        </w:rPr>
        <w:t xml:space="preserve">. Nach jedem erzielten Punkt (sowohl Spieler als auch CPU) pausiert das Spiel und zeigt eine bildschirmfüllende Informationskarte. Der Spieler muss klicken oder eine Taste drücken, um weiterzuspielen — dies erzwingt das Lesen der Botschaft.</w:t>
      </w:r>
    </w:p>
    <w:p>
      <w:pPr>
        <w:spacing w:after="160" w:before="0" w:line="300"/>
        <w:jc w:val="left"/>
      </w:pPr>
      <w:r>
        <w:rPr>
          <w:rFonts w:ascii="Arial" w:cs="Arial" w:eastAsia="Arial" w:hAnsi="Arial"/>
          <w:b w:val="false"/>
          <w:bCs w:val="false"/>
          <w:i w:val="false"/>
          <w:iCs w:val="false"/>
          <w:color w:val="222222"/>
          <w:sz w:val="22"/>
          <w:szCs w:val="22"/>
        </w:rPr>
        <w:t xml:space="preserve">Die Botschaften sind thematisch nach Torschütze aufgeteilt und rotieren durch je 10 verschiedene Inhalte, sodass auch bei mehrfachem Spielen immer neue Informationen erscheinen.</w:t>
      </w:r>
    </w:p>
    <w:p>
      <w:pPr>
        <w:pStyle w:val="Heading2"/>
        <w:spacing w:after="180" w:before="280"/>
      </w:pPr>
      <w:r>
        <w:rPr>
          <w:rFonts w:ascii="Arial" w:cs="Arial" w:eastAsia="Arial" w:hAnsi="Arial"/>
          <w:b/>
          <w:bCs/>
          <w:color w:val="00B894"/>
          <w:sz w:val="28"/>
          <w:szCs w:val="28"/>
        </w:rPr>
        <w:t xml:space="preserve">3.1 Spieler-Tor — Positive Botschaften (grüner Screen)</w:t>
      </w:r>
    </w:p>
    <w:p>
      <w:pPr>
        <w:spacing w:after="160" w:before="0" w:line="300"/>
        <w:jc w:val="left"/>
      </w:pPr>
      <w:r>
        <w:rPr>
          <w:rFonts w:ascii="Arial" w:cs="Arial" w:eastAsia="Arial" w:hAnsi="Arial"/>
          <w:b w:val="false"/>
          <w:bCs w:val="false"/>
          <w:i w:val="false"/>
          <w:iCs w:val="false"/>
          <w:color w:val="222222"/>
          <w:sz w:val="22"/>
          <w:szCs w:val="22"/>
        </w:rPr>
        <w:t xml:space="preserve">Wenn der </w:t>
      </w:r>
      <w:r>
        <w:rPr>
          <w:rFonts w:ascii="Arial" w:cs="Arial" w:eastAsia="Arial" w:hAnsi="Arial"/>
          <w:b/>
          <w:bCs/>
          <w:i w:val="false"/>
          <w:iCs w:val="false"/>
          <w:color w:val="00B894"/>
          <w:sz w:val="22"/>
          <w:szCs w:val="22"/>
        </w:rPr>
        <w:t xml:space="preserve">Spieler ein Tor erzielt</w:t>
      </w:r>
      <w:r>
        <w:rPr>
          <w:rFonts w:ascii="Arial" w:cs="Arial" w:eastAsia="Arial" w:hAnsi="Arial"/>
          <w:b w:val="false"/>
          <w:bCs w:val="false"/>
          <w:i w:val="false"/>
          <w:iCs w:val="false"/>
          <w:color w:val="222222"/>
          <w:sz w:val="22"/>
          <w:szCs w:val="22"/>
        </w:rPr>
        <w:t xml:space="preserve">, erscheint eine Karte mit positiven Botschaften rund um die Vorteile der Steinanalyse und Thiola-Therapie. Themen: Diagnostik-Erfolge, Therapiewirksamkeit, Leitlinienempfehlungen, Prävention.</w:t>
      </w:r>
    </w:p>
    <w:p>
      <w:pPr>
        <w:spacing w:after="0" w:before="8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600"/>
        <w:gridCol w:w="2800"/>
        <w:gridCol w:w="5960"/>
      </w:tblGrid>
      <w:tr>
        <w:tc>
          <w:tcPr>
            <w:tcW w:type="dxa" w:w="600"/>
            <w:tcBorders>
              <w:top w:val="single" w:color="CCCCCC" w:sz="1"/>
              <w:left w:val="single" w:color="CCCCCC" w:sz="1"/>
              <w:bottom w:val="single" w:color="CCCCCC" w:sz="1"/>
              <w:right w:val="single" w:color="CCCCCC" w:sz="1"/>
            </w:tcBorders>
            <w:shd w:fill="00B894" w:val="clear"/>
            <w:tcMar>
              <w:top w:type="dxa" w:w="100"/>
              <w:left w:type="dxa" w:w="140"/>
              <w:bottom w:type="dxa" w:w="100"/>
              <w:right w:type="dxa" w:w="140"/>
            </w:tcMar>
            <w:vAlign w:val="center"/>
          </w:tcPr>
          <w:p>
            <w:pPr>
              <w:jc w:val="center"/>
            </w:pPr>
            <w:r>
              <w:rPr>
                <w:rFonts w:ascii="Arial" w:cs="Arial" w:eastAsia="Arial" w:hAnsi="Arial"/>
                <w:b/>
                <w:bCs/>
                <w:color w:val="FFFFFF"/>
                <w:sz w:val="20"/>
                <w:szCs w:val="20"/>
              </w:rPr>
              <w:t xml:space="preserve">Nr.</w:t>
            </w:r>
          </w:p>
        </w:tc>
        <w:tc>
          <w:tcPr>
            <w:tcW w:type="dxa" w:w="2800"/>
            <w:tcBorders>
              <w:top w:val="single" w:color="CCCCCC" w:sz="1"/>
              <w:left w:val="single" w:color="CCCCCC" w:sz="1"/>
              <w:bottom w:val="single" w:color="CCCCCC" w:sz="1"/>
              <w:right w:val="single" w:color="CCCCCC" w:sz="1"/>
            </w:tcBorders>
            <w:shd w:fill="00B894" w:val="clear"/>
            <w:tcMar>
              <w:top w:type="dxa" w:w="100"/>
              <w:left w:type="dxa" w:w="140"/>
              <w:bottom w:type="dxa" w:w="100"/>
              <w:right w:type="dxa" w:w="140"/>
            </w:tcMar>
            <w:vAlign w:val="center"/>
          </w:tcPr>
          <w:p>
            <w:r>
              <w:rPr>
                <w:rFonts w:ascii="Arial" w:cs="Arial" w:eastAsia="Arial" w:hAnsi="Arial"/>
                <w:b/>
                <w:bCs/>
                <w:color w:val="FFFFFF"/>
                <w:sz w:val="20"/>
                <w:szCs w:val="20"/>
              </w:rPr>
              <w:t xml:space="preserve">Titel</w:t>
            </w:r>
          </w:p>
        </w:tc>
        <w:tc>
          <w:tcPr>
            <w:tcW w:type="dxa" w:w="5960"/>
            <w:tcBorders>
              <w:top w:val="single" w:color="CCCCCC" w:sz="1"/>
              <w:left w:val="single" w:color="CCCCCC" w:sz="1"/>
              <w:bottom w:val="single" w:color="CCCCCC" w:sz="1"/>
              <w:right w:val="single" w:color="CCCCCC" w:sz="1"/>
            </w:tcBorders>
            <w:shd w:fill="00B894" w:val="clear"/>
            <w:tcMar>
              <w:top w:type="dxa" w:w="100"/>
              <w:left w:type="dxa" w:w="140"/>
              <w:bottom w:type="dxa" w:w="100"/>
              <w:right w:type="dxa" w:w="140"/>
            </w:tcMar>
            <w:vAlign w:val="center"/>
          </w:tcPr>
          <w:p>
            <w:r>
              <w:rPr>
                <w:rFonts w:ascii="Arial" w:cs="Arial" w:eastAsia="Arial" w:hAnsi="Arial"/>
                <w:b/>
                <w:bCs/>
                <w:color w:val="FFFFFF"/>
                <w:sz w:val="20"/>
                <w:szCs w:val="20"/>
              </w:rPr>
              <w:t xml:space="preserve">Edukations-Inhalt</w:t>
            </w:r>
          </w:p>
        </w:tc>
      </w:tr>
      <w:tr>
        <w:tc>
          <w:tcPr>
            <w:tcW w:type="dxa" w:w="6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vAlign w:val="center"/>
          </w:tcPr>
          <w:p>
            <w:pPr>
              <w:jc w:val="center"/>
            </w:pPr>
            <w:r>
              <w:rPr>
                <w:rFonts w:ascii="Arial" w:cs="Arial" w:eastAsia="Arial" w:hAnsi="Arial"/>
                <w:color w:val="555555"/>
                <w:sz w:val="20"/>
                <w:szCs w:val="20"/>
              </w:rPr>
              <w:t xml:space="preserve">1</w:t>
            </w:r>
          </w:p>
        </w:tc>
        <w:tc>
          <w:tcPr>
            <w:tcW w:type="dxa" w:w="28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vAlign w:val="center"/>
          </w:tcPr>
          <w:p>
            <w:pPr>
              <w:spacing w:after="0" w:line="280"/>
            </w:pPr>
            <w:r>
              <w:rPr>
                <w:rFonts w:ascii="Arial" w:cs="Arial" w:eastAsia="Arial" w:hAnsi="Arial"/>
                <w:b/>
                <w:bCs/>
                <w:color w:val="222222"/>
                <w:sz w:val="20"/>
                <w:szCs w:val="20"/>
              </w:rPr>
              <w:t xml:space="preserve">🔬  Steinanalyse rettet Leben</w:t>
            </w:r>
          </w:p>
        </w:tc>
        <w:tc>
          <w:tcPr>
            <w:tcW w:type="dxa" w:w="59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vAlign w:val="center"/>
          </w:tcPr>
          <w:p>
            <w:pPr>
              <w:spacing w:after="0" w:line="280"/>
            </w:pPr>
            <w:r>
              <w:rPr>
                <w:rFonts w:ascii="Arial" w:cs="Arial" w:eastAsia="Arial" w:hAnsi="Arial"/>
                <w:color w:val="222222"/>
                <w:sz w:val="20"/>
                <w:szCs w:val="20"/>
              </w:rPr>
              <w:t xml:space="preserve">Jeder Nierenstein sollte analysiert werden. Nur so kann ein Cystinstein sicher identifiziert werden.</w:t>
            </w:r>
          </w:p>
        </w:tc>
      </w:tr>
      <w:tr>
        <w:tc>
          <w:tcPr>
            <w:tcW w:type="dxa" w:w="600"/>
            <w:tcBorders>
              <w:top w:val="single" w:color="CCCCCC" w:sz="1"/>
              <w:left w:val="single" w:color="CCCCCC" w:sz="1"/>
              <w:bottom w:val="single" w:color="CCCCCC" w:sz="1"/>
              <w:right w:val="single" w:color="CCCCCC" w:sz="1"/>
            </w:tcBorders>
            <w:shd w:fill="F5F5F5" w:val="clear"/>
            <w:tcMar>
              <w:top w:type="dxa" w:w="100"/>
              <w:left w:type="dxa" w:w="140"/>
              <w:bottom w:type="dxa" w:w="100"/>
              <w:right w:type="dxa" w:w="140"/>
            </w:tcMar>
            <w:vAlign w:val="center"/>
          </w:tcPr>
          <w:p>
            <w:pPr>
              <w:jc w:val="center"/>
            </w:pPr>
            <w:r>
              <w:rPr>
                <w:rFonts w:ascii="Arial" w:cs="Arial" w:eastAsia="Arial" w:hAnsi="Arial"/>
                <w:color w:val="555555"/>
                <w:sz w:val="20"/>
                <w:szCs w:val="20"/>
              </w:rPr>
              <w:t xml:space="preserve">2</w:t>
            </w:r>
          </w:p>
        </w:tc>
        <w:tc>
          <w:tcPr>
            <w:tcW w:type="dxa" w:w="2800"/>
            <w:tcBorders>
              <w:top w:val="single" w:color="CCCCCC" w:sz="1"/>
              <w:left w:val="single" w:color="CCCCCC" w:sz="1"/>
              <w:bottom w:val="single" w:color="CCCCCC" w:sz="1"/>
              <w:right w:val="single" w:color="CCCCCC" w:sz="1"/>
            </w:tcBorders>
            <w:shd w:fill="F5F5F5" w:val="clear"/>
            <w:tcMar>
              <w:top w:type="dxa" w:w="100"/>
              <w:left w:type="dxa" w:w="140"/>
              <w:bottom w:type="dxa" w:w="100"/>
              <w:right w:type="dxa" w:w="140"/>
            </w:tcMar>
            <w:vAlign w:val="center"/>
          </w:tcPr>
          <w:p>
            <w:pPr>
              <w:spacing w:after="0" w:line="280"/>
            </w:pPr>
            <w:r>
              <w:rPr>
                <w:rFonts w:ascii="Arial" w:cs="Arial" w:eastAsia="Arial" w:hAnsi="Arial"/>
                <w:b/>
                <w:bCs/>
                <w:color w:val="222222"/>
                <w:sz w:val="20"/>
                <w:szCs w:val="20"/>
              </w:rPr>
              <w:t xml:space="preserve">🎯  Früherkennung ist der Schlüssel</w:t>
            </w:r>
          </w:p>
        </w:tc>
        <w:tc>
          <w:tcPr>
            <w:tcW w:type="dxa" w:w="5960"/>
            <w:tcBorders>
              <w:top w:val="single" w:color="CCCCCC" w:sz="1"/>
              <w:left w:val="single" w:color="CCCCCC" w:sz="1"/>
              <w:bottom w:val="single" w:color="CCCCCC" w:sz="1"/>
              <w:right w:val="single" w:color="CCCCCC" w:sz="1"/>
            </w:tcBorders>
            <w:shd w:fill="F5F5F5" w:val="clear"/>
            <w:tcMar>
              <w:top w:type="dxa" w:w="100"/>
              <w:left w:type="dxa" w:w="140"/>
              <w:bottom w:type="dxa" w:w="100"/>
              <w:right w:type="dxa" w:w="140"/>
            </w:tcMar>
            <w:vAlign w:val="center"/>
          </w:tcPr>
          <w:p>
            <w:pPr>
              <w:spacing w:after="0" w:line="280"/>
            </w:pPr>
            <w:r>
              <w:rPr>
                <w:rFonts w:ascii="Arial" w:cs="Arial" w:eastAsia="Arial" w:hAnsi="Arial"/>
                <w:color w:val="222222"/>
                <w:sz w:val="20"/>
                <w:szCs w:val="20"/>
              </w:rPr>
              <w:t xml:space="preserve">Je früher Cystinurie erkannt wird, desto besser die Prognose. Die Steinanalyse ist der erste Schritt zur Diagnose.</w:t>
            </w:r>
          </w:p>
        </w:tc>
      </w:tr>
      <w:tr>
        <w:tc>
          <w:tcPr>
            <w:tcW w:type="dxa" w:w="6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vAlign w:val="center"/>
          </w:tcPr>
          <w:p>
            <w:pPr>
              <w:jc w:val="center"/>
            </w:pPr>
            <w:r>
              <w:rPr>
                <w:rFonts w:ascii="Arial" w:cs="Arial" w:eastAsia="Arial" w:hAnsi="Arial"/>
                <w:color w:val="555555"/>
                <w:sz w:val="20"/>
                <w:szCs w:val="20"/>
              </w:rPr>
              <w:t xml:space="preserve">3</w:t>
            </w:r>
          </w:p>
        </w:tc>
        <w:tc>
          <w:tcPr>
            <w:tcW w:type="dxa" w:w="28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vAlign w:val="center"/>
          </w:tcPr>
          <w:p>
            <w:pPr>
              <w:spacing w:after="0" w:line="280"/>
            </w:pPr>
            <w:r>
              <w:rPr>
                <w:rFonts w:ascii="Arial" w:cs="Arial" w:eastAsia="Arial" w:hAnsi="Arial"/>
                <w:b/>
                <w:bCs/>
                <w:color w:val="222222"/>
                <w:sz w:val="20"/>
                <w:szCs w:val="20"/>
              </w:rPr>
              <w:t xml:space="preserve">💊  Thiola senkt das Cystinniveau</w:t>
            </w:r>
          </w:p>
        </w:tc>
        <w:tc>
          <w:tcPr>
            <w:tcW w:type="dxa" w:w="59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vAlign w:val="center"/>
          </w:tcPr>
          <w:p>
            <w:pPr>
              <w:spacing w:after="0" w:line="280"/>
            </w:pPr>
            <w:r>
              <w:rPr>
                <w:rFonts w:ascii="Arial" w:cs="Arial" w:eastAsia="Arial" w:hAnsi="Arial"/>
                <w:color w:val="222222"/>
                <w:sz w:val="20"/>
                <w:szCs w:val="20"/>
              </w:rPr>
              <w:t xml:space="preserve">Thiola (Tiopronin) senkt die Cystinkonzentration im Urin und verhindert die Neubildung von Steinen.</w:t>
            </w:r>
          </w:p>
        </w:tc>
      </w:tr>
      <w:tr>
        <w:tc>
          <w:tcPr>
            <w:tcW w:type="dxa" w:w="600"/>
            <w:tcBorders>
              <w:top w:val="single" w:color="CCCCCC" w:sz="1"/>
              <w:left w:val="single" w:color="CCCCCC" w:sz="1"/>
              <w:bottom w:val="single" w:color="CCCCCC" w:sz="1"/>
              <w:right w:val="single" w:color="CCCCCC" w:sz="1"/>
            </w:tcBorders>
            <w:shd w:fill="F5F5F5" w:val="clear"/>
            <w:tcMar>
              <w:top w:type="dxa" w:w="100"/>
              <w:left w:type="dxa" w:w="140"/>
              <w:bottom w:type="dxa" w:w="100"/>
              <w:right w:type="dxa" w:w="140"/>
            </w:tcMar>
            <w:vAlign w:val="center"/>
          </w:tcPr>
          <w:p>
            <w:pPr>
              <w:jc w:val="center"/>
            </w:pPr>
            <w:r>
              <w:rPr>
                <w:rFonts w:ascii="Arial" w:cs="Arial" w:eastAsia="Arial" w:hAnsi="Arial"/>
                <w:color w:val="555555"/>
                <w:sz w:val="20"/>
                <w:szCs w:val="20"/>
              </w:rPr>
              <w:t xml:space="preserve">4</w:t>
            </w:r>
          </w:p>
        </w:tc>
        <w:tc>
          <w:tcPr>
            <w:tcW w:type="dxa" w:w="2800"/>
            <w:tcBorders>
              <w:top w:val="single" w:color="CCCCCC" w:sz="1"/>
              <w:left w:val="single" w:color="CCCCCC" w:sz="1"/>
              <w:bottom w:val="single" w:color="CCCCCC" w:sz="1"/>
              <w:right w:val="single" w:color="CCCCCC" w:sz="1"/>
            </w:tcBorders>
            <w:shd w:fill="F5F5F5" w:val="clear"/>
            <w:tcMar>
              <w:top w:type="dxa" w:w="100"/>
              <w:left w:type="dxa" w:w="140"/>
              <w:bottom w:type="dxa" w:w="100"/>
              <w:right w:type="dxa" w:w="140"/>
            </w:tcMar>
            <w:vAlign w:val="center"/>
          </w:tcPr>
          <w:p>
            <w:pPr>
              <w:spacing w:after="0" w:line="280"/>
            </w:pPr>
            <w:r>
              <w:rPr>
                <w:rFonts w:ascii="Arial" w:cs="Arial" w:eastAsia="Arial" w:hAnsi="Arial"/>
                <w:b/>
                <w:bCs/>
                <w:color w:val="222222"/>
                <w:sz w:val="20"/>
                <w:szCs w:val="20"/>
              </w:rPr>
              <w:t xml:space="preserve">🛡️  Schutz durch konsequente Therapie</w:t>
            </w:r>
          </w:p>
        </w:tc>
        <w:tc>
          <w:tcPr>
            <w:tcW w:type="dxa" w:w="5960"/>
            <w:tcBorders>
              <w:top w:val="single" w:color="CCCCCC" w:sz="1"/>
              <w:left w:val="single" w:color="CCCCCC" w:sz="1"/>
              <w:bottom w:val="single" w:color="CCCCCC" w:sz="1"/>
              <w:right w:val="single" w:color="CCCCCC" w:sz="1"/>
            </w:tcBorders>
            <w:shd w:fill="F5F5F5" w:val="clear"/>
            <w:tcMar>
              <w:top w:type="dxa" w:w="100"/>
              <w:left w:type="dxa" w:w="140"/>
              <w:bottom w:type="dxa" w:w="100"/>
              <w:right w:type="dxa" w:w="140"/>
            </w:tcMar>
            <w:vAlign w:val="center"/>
          </w:tcPr>
          <w:p>
            <w:pPr>
              <w:spacing w:after="0" w:line="280"/>
            </w:pPr>
            <w:r>
              <w:rPr>
                <w:rFonts w:ascii="Arial" w:cs="Arial" w:eastAsia="Arial" w:hAnsi="Arial"/>
                <w:color w:val="222222"/>
                <w:sz w:val="20"/>
                <w:szCs w:val="20"/>
              </w:rPr>
              <w:t xml:space="preserve">Unter konsequenter Thiola-Therapie kann die Steinbildungsrate signifikant reduziert werden.</w:t>
            </w:r>
          </w:p>
        </w:tc>
      </w:tr>
      <w:tr>
        <w:tc>
          <w:tcPr>
            <w:tcW w:type="dxa" w:w="6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vAlign w:val="center"/>
          </w:tcPr>
          <w:p>
            <w:pPr>
              <w:jc w:val="center"/>
            </w:pPr>
            <w:r>
              <w:rPr>
                <w:rFonts w:ascii="Arial" w:cs="Arial" w:eastAsia="Arial" w:hAnsi="Arial"/>
                <w:color w:val="555555"/>
                <w:sz w:val="20"/>
                <w:szCs w:val="20"/>
              </w:rPr>
              <w:t xml:space="preserve">5</w:t>
            </w:r>
          </w:p>
        </w:tc>
        <w:tc>
          <w:tcPr>
            <w:tcW w:type="dxa" w:w="28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vAlign w:val="center"/>
          </w:tcPr>
          <w:p>
            <w:pPr>
              <w:spacing w:after="0" w:line="280"/>
            </w:pPr>
            <w:r>
              <w:rPr>
                <w:rFonts w:ascii="Arial" w:cs="Arial" w:eastAsia="Arial" w:hAnsi="Arial"/>
                <w:b/>
                <w:bCs/>
                <w:color w:val="222222"/>
                <w:sz w:val="20"/>
                <w:szCs w:val="20"/>
              </w:rPr>
              <w:t xml:space="preserve">✅  Evidenzbasierter Therapiestandard</w:t>
            </w:r>
          </w:p>
        </w:tc>
        <w:tc>
          <w:tcPr>
            <w:tcW w:type="dxa" w:w="59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vAlign w:val="center"/>
          </w:tcPr>
          <w:p>
            <w:pPr>
              <w:spacing w:after="0" w:line="280"/>
            </w:pPr>
            <w:r>
              <w:rPr>
                <w:rFonts w:ascii="Arial" w:cs="Arial" w:eastAsia="Arial" w:hAnsi="Arial"/>
                <w:color w:val="222222"/>
                <w:sz w:val="20"/>
                <w:szCs w:val="20"/>
              </w:rPr>
              <w:t xml:space="preserve">Tiopronin (Thiola) ist der Goldstandard in der medikamentösen Prävention von Cystinsteinen.</w:t>
            </w:r>
          </w:p>
        </w:tc>
      </w:tr>
      <w:tr>
        <w:tc>
          <w:tcPr>
            <w:tcW w:type="dxa" w:w="600"/>
            <w:tcBorders>
              <w:top w:val="single" w:color="CCCCCC" w:sz="1"/>
              <w:left w:val="single" w:color="CCCCCC" w:sz="1"/>
              <w:bottom w:val="single" w:color="CCCCCC" w:sz="1"/>
              <w:right w:val="single" w:color="CCCCCC" w:sz="1"/>
            </w:tcBorders>
            <w:shd w:fill="F5F5F5" w:val="clear"/>
            <w:tcMar>
              <w:top w:type="dxa" w:w="100"/>
              <w:left w:type="dxa" w:w="140"/>
              <w:bottom w:type="dxa" w:w="100"/>
              <w:right w:type="dxa" w:w="140"/>
            </w:tcMar>
            <w:vAlign w:val="center"/>
          </w:tcPr>
          <w:p>
            <w:pPr>
              <w:jc w:val="center"/>
            </w:pPr>
            <w:r>
              <w:rPr>
                <w:rFonts w:ascii="Arial" w:cs="Arial" w:eastAsia="Arial" w:hAnsi="Arial"/>
                <w:color w:val="555555"/>
                <w:sz w:val="20"/>
                <w:szCs w:val="20"/>
              </w:rPr>
              <w:t xml:space="preserve">6</w:t>
            </w:r>
          </w:p>
        </w:tc>
        <w:tc>
          <w:tcPr>
            <w:tcW w:type="dxa" w:w="2800"/>
            <w:tcBorders>
              <w:top w:val="single" w:color="CCCCCC" w:sz="1"/>
              <w:left w:val="single" w:color="CCCCCC" w:sz="1"/>
              <w:bottom w:val="single" w:color="CCCCCC" w:sz="1"/>
              <w:right w:val="single" w:color="CCCCCC" w:sz="1"/>
            </w:tcBorders>
            <w:shd w:fill="F5F5F5" w:val="clear"/>
            <w:tcMar>
              <w:top w:type="dxa" w:w="100"/>
              <w:left w:type="dxa" w:w="140"/>
              <w:bottom w:type="dxa" w:w="100"/>
              <w:right w:type="dxa" w:w="140"/>
            </w:tcMar>
            <w:vAlign w:val="center"/>
          </w:tcPr>
          <w:p>
            <w:pPr>
              <w:spacing w:after="0" w:line="280"/>
            </w:pPr>
            <w:r>
              <w:rPr>
                <w:rFonts w:ascii="Arial" w:cs="Arial" w:eastAsia="Arial" w:hAnsi="Arial"/>
                <w:b/>
                <w:bCs/>
                <w:color w:val="222222"/>
                <w:sz w:val="20"/>
                <w:szCs w:val="20"/>
              </w:rPr>
              <w:t xml:space="preserve">🔁  Rezidivprophylaxe mit Thiola</w:t>
            </w:r>
          </w:p>
        </w:tc>
        <w:tc>
          <w:tcPr>
            <w:tcW w:type="dxa" w:w="5960"/>
            <w:tcBorders>
              <w:top w:val="single" w:color="CCCCCC" w:sz="1"/>
              <w:left w:val="single" w:color="CCCCCC" w:sz="1"/>
              <w:bottom w:val="single" w:color="CCCCCC" w:sz="1"/>
              <w:right w:val="single" w:color="CCCCCC" w:sz="1"/>
            </w:tcBorders>
            <w:shd w:fill="F5F5F5" w:val="clear"/>
            <w:tcMar>
              <w:top w:type="dxa" w:w="100"/>
              <w:left w:type="dxa" w:w="140"/>
              <w:bottom w:type="dxa" w:w="100"/>
              <w:right w:type="dxa" w:w="140"/>
            </w:tcMar>
            <w:vAlign w:val="center"/>
          </w:tcPr>
          <w:p>
            <w:pPr>
              <w:spacing w:after="0" w:line="280"/>
            </w:pPr>
            <w:r>
              <w:rPr>
                <w:rFonts w:ascii="Arial" w:cs="Arial" w:eastAsia="Arial" w:hAnsi="Arial"/>
                <w:color w:val="222222"/>
                <w:sz w:val="20"/>
                <w:szCs w:val="20"/>
              </w:rPr>
              <w:t xml:space="preserve">Ohne spezifische Therapie liegt die Rezidivrate bei Cystinsteinen bei bis zu 60%. Thiola kann das verhindern.</w:t>
            </w:r>
          </w:p>
        </w:tc>
      </w:tr>
      <w:tr>
        <w:tc>
          <w:tcPr>
            <w:tcW w:type="dxa" w:w="6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vAlign w:val="center"/>
          </w:tcPr>
          <w:p>
            <w:pPr>
              <w:jc w:val="center"/>
            </w:pPr>
            <w:r>
              <w:rPr>
                <w:rFonts w:ascii="Arial" w:cs="Arial" w:eastAsia="Arial" w:hAnsi="Arial"/>
                <w:color w:val="555555"/>
                <w:sz w:val="20"/>
                <w:szCs w:val="20"/>
              </w:rPr>
              <w:t xml:space="preserve">7</w:t>
            </w:r>
          </w:p>
        </w:tc>
        <w:tc>
          <w:tcPr>
            <w:tcW w:type="dxa" w:w="28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vAlign w:val="center"/>
          </w:tcPr>
          <w:p>
            <w:pPr>
              <w:spacing w:after="0" w:line="280"/>
            </w:pPr>
            <w:r>
              <w:rPr>
                <w:rFonts w:ascii="Arial" w:cs="Arial" w:eastAsia="Arial" w:hAnsi="Arial"/>
                <w:b/>
                <w:bCs/>
                <w:color w:val="222222"/>
                <w:sz w:val="20"/>
                <w:szCs w:val="20"/>
              </w:rPr>
              <w:t xml:space="preserve">📋  Leitliniengerecht handeln</w:t>
            </w:r>
          </w:p>
        </w:tc>
        <w:tc>
          <w:tcPr>
            <w:tcW w:type="dxa" w:w="59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vAlign w:val="center"/>
          </w:tcPr>
          <w:p>
            <w:pPr>
              <w:spacing w:after="0" w:line="280"/>
            </w:pPr>
            <w:r>
              <w:rPr>
                <w:rFonts w:ascii="Arial" w:cs="Arial" w:eastAsia="Arial" w:hAnsi="Arial"/>
                <w:color w:val="222222"/>
                <w:sz w:val="20"/>
                <w:szCs w:val="20"/>
              </w:rPr>
              <w:t xml:space="preserve">Die urologischen Leitlinien empfehlen eine konsequente Steinanalyse als Basis jeder Metaphylaxe.</w:t>
            </w:r>
          </w:p>
        </w:tc>
      </w:tr>
      <w:tr>
        <w:tc>
          <w:tcPr>
            <w:tcW w:type="dxa" w:w="600"/>
            <w:tcBorders>
              <w:top w:val="single" w:color="CCCCCC" w:sz="1"/>
              <w:left w:val="single" w:color="CCCCCC" w:sz="1"/>
              <w:bottom w:val="single" w:color="CCCCCC" w:sz="1"/>
              <w:right w:val="single" w:color="CCCCCC" w:sz="1"/>
            </w:tcBorders>
            <w:shd w:fill="F5F5F5" w:val="clear"/>
            <w:tcMar>
              <w:top w:type="dxa" w:w="100"/>
              <w:left w:type="dxa" w:w="140"/>
              <w:bottom w:type="dxa" w:w="100"/>
              <w:right w:type="dxa" w:w="140"/>
            </w:tcMar>
            <w:vAlign w:val="center"/>
          </w:tcPr>
          <w:p>
            <w:pPr>
              <w:jc w:val="center"/>
            </w:pPr>
            <w:r>
              <w:rPr>
                <w:rFonts w:ascii="Arial" w:cs="Arial" w:eastAsia="Arial" w:hAnsi="Arial"/>
                <w:color w:val="555555"/>
                <w:sz w:val="20"/>
                <w:szCs w:val="20"/>
              </w:rPr>
              <w:t xml:space="preserve">8</w:t>
            </w:r>
          </w:p>
        </w:tc>
        <w:tc>
          <w:tcPr>
            <w:tcW w:type="dxa" w:w="2800"/>
            <w:tcBorders>
              <w:top w:val="single" w:color="CCCCCC" w:sz="1"/>
              <w:left w:val="single" w:color="CCCCCC" w:sz="1"/>
              <w:bottom w:val="single" w:color="CCCCCC" w:sz="1"/>
              <w:right w:val="single" w:color="CCCCCC" w:sz="1"/>
            </w:tcBorders>
            <w:shd w:fill="F5F5F5" w:val="clear"/>
            <w:tcMar>
              <w:top w:type="dxa" w:w="100"/>
              <w:left w:type="dxa" w:w="140"/>
              <w:bottom w:type="dxa" w:w="100"/>
              <w:right w:type="dxa" w:w="140"/>
            </w:tcMar>
            <w:vAlign w:val="center"/>
          </w:tcPr>
          <w:p>
            <w:pPr>
              <w:spacing w:after="0" w:line="280"/>
            </w:pPr>
            <w:r>
              <w:rPr>
                <w:rFonts w:ascii="Arial" w:cs="Arial" w:eastAsia="Arial" w:hAnsi="Arial"/>
                <w:b/>
                <w:bCs/>
                <w:color w:val="222222"/>
                <w:sz w:val="20"/>
                <w:szCs w:val="20"/>
              </w:rPr>
              <w:t xml:space="preserve">🏆  Therapieerfolg messbar</w:t>
            </w:r>
          </w:p>
        </w:tc>
        <w:tc>
          <w:tcPr>
            <w:tcW w:type="dxa" w:w="5960"/>
            <w:tcBorders>
              <w:top w:val="single" w:color="CCCCCC" w:sz="1"/>
              <w:left w:val="single" w:color="CCCCCC" w:sz="1"/>
              <w:bottom w:val="single" w:color="CCCCCC" w:sz="1"/>
              <w:right w:val="single" w:color="CCCCCC" w:sz="1"/>
            </w:tcBorders>
            <w:shd w:fill="F5F5F5" w:val="clear"/>
            <w:tcMar>
              <w:top w:type="dxa" w:w="100"/>
              <w:left w:type="dxa" w:w="140"/>
              <w:bottom w:type="dxa" w:w="100"/>
              <w:right w:type="dxa" w:w="140"/>
            </w:tcMar>
            <w:vAlign w:val="center"/>
          </w:tcPr>
          <w:p>
            <w:pPr>
              <w:spacing w:after="0" w:line="280"/>
            </w:pPr>
            <w:r>
              <w:rPr>
                <w:rFonts w:ascii="Arial" w:cs="Arial" w:eastAsia="Arial" w:hAnsi="Arial"/>
                <w:color w:val="222222"/>
                <w:sz w:val="20"/>
                <w:szCs w:val="20"/>
              </w:rPr>
              <w:t xml:space="preserve">Unter Thiola-Therapie kann die Cystinausscheidung im Urin kontrolliert und der Therapieerfolg laborchemisch überwacht werden.</w:t>
            </w:r>
          </w:p>
        </w:tc>
      </w:tr>
      <w:tr>
        <w:tc>
          <w:tcPr>
            <w:tcW w:type="dxa" w:w="6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vAlign w:val="center"/>
          </w:tcPr>
          <w:p>
            <w:pPr>
              <w:jc w:val="center"/>
            </w:pPr>
            <w:r>
              <w:rPr>
                <w:rFonts w:ascii="Arial" w:cs="Arial" w:eastAsia="Arial" w:hAnsi="Arial"/>
                <w:color w:val="555555"/>
                <w:sz w:val="20"/>
                <w:szCs w:val="20"/>
              </w:rPr>
              <w:t xml:space="preserve">9</w:t>
            </w:r>
          </w:p>
        </w:tc>
        <w:tc>
          <w:tcPr>
            <w:tcW w:type="dxa" w:w="28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vAlign w:val="center"/>
          </w:tcPr>
          <w:p>
            <w:pPr>
              <w:spacing w:after="0" w:line="280"/>
            </w:pPr>
            <w:r>
              <w:rPr>
                <w:rFonts w:ascii="Arial" w:cs="Arial" w:eastAsia="Arial" w:hAnsi="Arial"/>
                <w:b/>
                <w:bCs/>
                <w:color w:val="222222"/>
                <w:sz w:val="20"/>
                <w:szCs w:val="20"/>
              </w:rPr>
              <w:t xml:space="preserve">💎  Analyse schafft Klarheit</w:t>
            </w:r>
          </w:p>
        </w:tc>
        <w:tc>
          <w:tcPr>
            <w:tcW w:type="dxa" w:w="59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vAlign w:val="center"/>
          </w:tcPr>
          <w:p>
            <w:pPr>
              <w:spacing w:after="0" w:line="280"/>
            </w:pPr>
            <w:r>
              <w:rPr>
                <w:rFonts w:ascii="Arial" w:cs="Arial" w:eastAsia="Arial" w:hAnsi="Arial"/>
                <w:color w:val="222222"/>
                <w:sz w:val="20"/>
                <w:szCs w:val="20"/>
              </w:rPr>
              <w:t xml:space="preserve">Cystinsteine machen nur 1–2% aller Nierensteine aus — ohne Analyse bleiben sie unerkannt.</w:t>
            </w:r>
          </w:p>
        </w:tc>
      </w:tr>
      <w:tr>
        <w:tc>
          <w:tcPr>
            <w:tcW w:type="dxa" w:w="600"/>
            <w:tcBorders>
              <w:top w:val="single" w:color="CCCCCC" w:sz="1"/>
              <w:left w:val="single" w:color="CCCCCC" w:sz="1"/>
              <w:bottom w:val="single" w:color="CCCCCC" w:sz="1"/>
              <w:right w:val="single" w:color="CCCCCC" w:sz="1"/>
            </w:tcBorders>
            <w:shd w:fill="F5F5F5" w:val="clear"/>
            <w:tcMar>
              <w:top w:type="dxa" w:w="100"/>
              <w:left w:type="dxa" w:w="140"/>
              <w:bottom w:type="dxa" w:w="100"/>
              <w:right w:type="dxa" w:w="140"/>
            </w:tcMar>
            <w:vAlign w:val="center"/>
          </w:tcPr>
          <w:p>
            <w:pPr>
              <w:jc w:val="center"/>
            </w:pPr>
            <w:r>
              <w:rPr>
                <w:rFonts w:ascii="Arial" w:cs="Arial" w:eastAsia="Arial" w:hAnsi="Arial"/>
                <w:color w:val="555555"/>
                <w:sz w:val="20"/>
                <w:szCs w:val="20"/>
              </w:rPr>
              <w:t xml:space="preserve">10</w:t>
            </w:r>
          </w:p>
        </w:tc>
        <w:tc>
          <w:tcPr>
            <w:tcW w:type="dxa" w:w="2800"/>
            <w:tcBorders>
              <w:top w:val="single" w:color="CCCCCC" w:sz="1"/>
              <w:left w:val="single" w:color="CCCCCC" w:sz="1"/>
              <w:bottom w:val="single" w:color="CCCCCC" w:sz="1"/>
              <w:right w:val="single" w:color="CCCCCC" w:sz="1"/>
            </w:tcBorders>
            <w:shd w:fill="F5F5F5" w:val="clear"/>
            <w:tcMar>
              <w:top w:type="dxa" w:w="100"/>
              <w:left w:type="dxa" w:w="140"/>
              <w:bottom w:type="dxa" w:w="100"/>
              <w:right w:type="dxa" w:w="140"/>
            </w:tcMar>
            <w:vAlign w:val="center"/>
          </w:tcPr>
          <w:p>
            <w:pPr>
              <w:spacing w:after="0" w:line="280"/>
            </w:pPr>
            <w:r>
              <w:rPr>
                <w:rFonts w:ascii="Arial" w:cs="Arial" w:eastAsia="Arial" w:hAnsi="Arial"/>
                <w:b/>
                <w:bCs/>
                <w:color w:val="222222"/>
                <w:sz w:val="20"/>
                <w:szCs w:val="20"/>
              </w:rPr>
              <w:t xml:space="preserve">🔑  Der Schlüssel zur Prävention</w:t>
            </w:r>
          </w:p>
        </w:tc>
        <w:tc>
          <w:tcPr>
            <w:tcW w:type="dxa" w:w="5960"/>
            <w:tcBorders>
              <w:top w:val="single" w:color="CCCCCC" w:sz="1"/>
              <w:left w:val="single" w:color="CCCCCC" w:sz="1"/>
              <w:bottom w:val="single" w:color="CCCCCC" w:sz="1"/>
              <w:right w:val="single" w:color="CCCCCC" w:sz="1"/>
            </w:tcBorders>
            <w:shd w:fill="F5F5F5" w:val="clear"/>
            <w:tcMar>
              <w:top w:type="dxa" w:w="100"/>
              <w:left w:type="dxa" w:w="140"/>
              <w:bottom w:type="dxa" w:w="100"/>
              <w:right w:type="dxa" w:w="140"/>
            </w:tcMar>
            <w:vAlign w:val="center"/>
          </w:tcPr>
          <w:p>
            <w:pPr>
              <w:spacing w:after="0" w:line="280"/>
            </w:pPr>
            <w:r>
              <w:rPr>
                <w:rFonts w:ascii="Arial" w:cs="Arial" w:eastAsia="Arial" w:hAnsi="Arial"/>
                <w:color w:val="222222"/>
                <w:sz w:val="20"/>
                <w:szCs w:val="20"/>
              </w:rPr>
              <w:t xml:space="preserve">Steinanalyse → Diagnose → Thiola — dieser Dreiklang schützt Patienten vor neuen Steinen.</w:t>
            </w:r>
          </w:p>
        </w:tc>
      </w:tr>
    </w:tbl>
    <w:p>
      <w:pPr>
        <w:spacing w:after="0" w:before="100"/>
      </w:pPr>
    </w:p>
    <w:p>
      <w:r>
        <w:br w:type="page"/>
      </w:r>
    </w:p>
    <w:p>
      <w:pPr>
        <w:pStyle w:val="Heading2"/>
        <w:spacing w:after="180" w:before="280"/>
      </w:pPr>
      <w:r>
        <w:rPr>
          <w:rFonts w:ascii="Arial" w:cs="Arial" w:eastAsia="Arial" w:hAnsi="Arial"/>
          <w:b/>
          <w:bCs/>
          <w:color w:val="00B894"/>
          <w:sz w:val="28"/>
          <w:szCs w:val="28"/>
        </w:rPr>
        <w:t xml:space="preserve">3.2 CPU-Tor — Leidens-Botschaften (roter Screen)</w:t>
      </w:r>
    </w:p>
    <w:p>
      <w:pPr>
        <w:spacing w:after="160" w:before="0" w:line="300"/>
        <w:jc w:val="left"/>
      </w:pPr>
      <w:r>
        <w:rPr>
          <w:rFonts w:ascii="Arial" w:cs="Arial" w:eastAsia="Arial" w:hAnsi="Arial"/>
          <w:b w:val="false"/>
          <w:bCs w:val="false"/>
          <w:i w:val="false"/>
          <w:iCs w:val="false"/>
          <w:color w:val="222222"/>
          <w:sz w:val="22"/>
          <w:szCs w:val="22"/>
        </w:rPr>
        <w:t xml:space="preserve">Wenn die </w:t>
      </w:r>
      <w:r>
        <w:rPr>
          <w:rFonts w:ascii="Arial" w:cs="Arial" w:eastAsia="Arial" w:hAnsi="Arial"/>
          <w:b/>
          <w:bCs/>
          <w:i w:val="false"/>
          <w:iCs w:val="false"/>
          <w:color w:val="E85D2A"/>
          <w:sz w:val="22"/>
          <w:szCs w:val="22"/>
        </w:rPr>
        <w:t xml:space="preserve">CPU ein Tor erzielt</w:t>
      </w:r>
      <w:r>
        <w:rPr>
          <w:rFonts w:ascii="Arial" w:cs="Arial" w:eastAsia="Arial" w:hAnsi="Arial"/>
          <w:b w:val="false"/>
          <w:bCs w:val="false"/>
          <w:i w:val="false"/>
          <w:iCs w:val="false"/>
          <w:color w:val="222222"/>
          <w:sz w:val="22"/>
          <w:szCs w:val="22"/>
        </w:rPr>
        <w:t xml:space="preserve">, erscheint eine Karte mit Botschaften zum Patientenleiden und den Konsequenzen fehlender Diagnostik. Themen: Schmerzen, Rezidivrate, Nierenschaden, Diagnoseverzögerung, Lebensqualität.</w:t>
      </w:r>
    </w:p>
    <w:p>
      <w:pPr>
        <w:spacing w:after="0" w:before="8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600"/>
        <w:gridCol w:w="2800"/>
        <w:gridCol w:w="5960"/>
      </w:tblGrid>
      <w:tr>
        <w:tc>
          <w:tcPr>
            <w:tcW w:type="dxa" w:w="600"/>
            <w:tcBorders>
              <w:top w:val="single" w:color="CCCCCC" w:sz="1"/>
              <w:left w:val="single" w:color="CCCCCC" w:sz="1"/>
              <w:bottom w:val="single" w:color="CCCCCC" w:sz="1"/>
              <w:right w:val="single" w:color="CCCCCC" w:sz="1"/>
            </w:tcBorders>
            <w:shd w:fill="E85D2A" w:val="clear"/>
            <w:tcMar>
              <w:top w:type="dxa" w:w="100"/>
              <w:left w:type="dxa" w:w="140"/>
              <w:bottom w:type="dxa" w:w="100"/>
              <w:right w:type="dxa" w:w="140"/>
            </w:tcMar>
            <w:vAlign w:val="center"/>
          </w:tcPr>
          <w:p>
            <w:pPr>
              <w:jc w:val="center"/>
            </w:pPr>
            <w:r>
              <w:rPr>
                <w:rFonts w:ascii="Arial" w:cs="Arial" w:eastAsia="Arial" w:hAnsi="Arial"/>
                <w:b/>
                <w:bCs/>
                <w:color w:val="FFFFFF"/>
                <w:sz w:val="20"/>
                <w:szCs w:val="20"/>
              </w:rPr>
              <w:t xml:space="preserve">Nr.</w:t>
            </w:r>
          </w:p>
        </w:tc>
        <w:tc>
          <w:tcPr>
            <w:tcW w:type="dxa" w:w="2800"/>
            <w:tcBorders>
              <w:top w:val="single" w:color="CCCCCC" w:sz="1"/>
              <w:left w:val="single" w:color="CCCCCC" w:sz="1"/>
              <w:bottom w:val="single" w:color="CCCCCC" w:sz="1"/>
              <w:right w:val="single" w:color="CCCCCC" w:sz="1"/>
            </w:tcBorders>
            <w:shd w:fill="E85D2A" w:val="clear"/>
            <w:tcMar>
              <w:top w:type="dxa" w:w="100"/>
              <w:left w:type="dxa" w:w="140"/>
              <w:bottom w:type="dxa" w:w="100"/>
              <w:right w:type="dxa" w:w="140"/>
            </w:tcMar>
            <w:vAlign w:val="center"/>
          </w:tcPr>
          <w:p>
            <w:r>
              <w:rPr>
                <w:rFonts w:ascii="Arial" w:cs="Arial" w:eastAsia="Arial" w:hAnsi="Arial"/>
                <w:b/>
                <w:bCs/>
                <w:color w:val="FFFFFF"/>
                <w:sz w:val="20"/>
                <w:szCs w:val="20"/>
              </w:rPr>
              <w:t xml:space="preserve">Titel</w:t>
            </w:r>
          </w:p>
        </w:tc>
        <w:tc>
          <w:tcPr>
            <w:tcW w:type="dxa" w:w="5960"/>
            <w:tcBorders>
              <w:top w:val="single" w:color="CCCCCC" w:sz="1"/>
              <w:left w:val="single" w:color="CCCCCC" w:sz="1"/>
              <w:bottom w:val="single" w:color="CCCCCC" w:sz="1"/>
              <w:right w:val="single" w:color="CCCCCC" w:sz="1"/>
            </w:tcBorders>
            <w:shd w:fill="E85D2A" w:val="clear"/>
            <w:tcMar>
              <w:top w:type="dxa" w:w="100"/>
              <w:left w:type="dxa" w:w="140"/>
              <w:bottom w:type="dxa" w:w="100"/>
              <w:right w:type="dxa" w:w="140"/>
            </w:tcMar>
            <w:vAlign w:val="center"/>
          </w:tcPr>
          <w:p>
            <w:r>
              <w:rPr>
                <w:rFonts w:ascii="Arial" w:cs="Arial" w:eastAsia="Arial" w:hAnsi="Arial"/>
                <w:b/>
                <w:bCs/>
                <w:color w:val="FFFFFF"/>
                <w:sz w:val="20"/>
                <w:szCs w:val="20"/>
              </w:rPr>
              <w:t xml:space="preserve">Edukations-Inhalt</w:t>
            </w:r>
          </w:p>
        </w:tc>
      </w:tr>
      <w:tr>
        <w:tc>
          <w:tcPr>
            <w:tcW w:type="dxa" w:w="6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vAlign w:val="center"/>
          </w:tcPr>
          <w:p>
            <w:pPr>
              <w:jc w:val="center"/>
            </w:pPr>
            <w:r>
              <w:rPr>
                <w:rFonts w:ascii="Arial" w:cs="Arial" w:eastAsia="Arial" w:hAnsi="Arial"/>
                <w:color w:val="555555"/>
                <w:sz w:val="20"/>
                <w:szCs w:val="20"/>
              </w:rPr>
              <w:t xml:space="preserve">1</w:t>
            </w:r>
          </w:p>
        </w:tc>
        <w:tc>
          <w:tcPr>
            <w:tcW w:type="dxa" w:w="28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vAlign w:val="center"/>
          </w:tcPr>
          <w:p>
            <w:pPr>
              <w:spacing w:after="0" w:line="280"/>
            </w:pPr>
            <w:r>
              <w:rPr>
                <w:rFonts w:ascii="Arial" w:cs="Arial" w:eastAsia="Arial" w:hAnsi="Arial"/>
                <w:b/>
                <w:bCs/>
                <w:color w:val="222222"/>
                <w:sz w:val="20"/>
                <w:szCs w:val="20"/>
              </w:rPr>
              <w:t xml:space="preserve">⚡  Kolikschmerzen — unerträglich</w:t>
            </w:r>
          </w:p>
        </w:tc>
        <w:tc>
          <w:tcPr>
            <w:tcW w:type="dxa" w:w="59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vAlign w:val="center"/>
          </w:tcPr>
          <w:p>
            <w:pPr>
              <w:spacing w:after="0" w:line="280"/>
            </w:pPr>
            <w:r>
              <w:rPr>
                <w:rFonts w:ascii="Arial" w:cs="Arial" w:eastAsia="Arial" w:hAnsi="Arial"/>
                <w:color w:val="222222"/>
                <w:sz w:val="20"/>
                <w:szCs w:val="20"/>
              </w:rPr>
              <w:t xml:space="preserve">Nierenkoliken gehören zu den stärksten Schmerzen, die ein Mensch erleben kann. Cystinstein-Patienten erleben das immer wieder.</w:t>
            </w:r>
          </w:p>
        </w:tc>
      </w:tr>
      <w:tr>
        <w:tc>
          <w:tcPr>
            <w:tcW w:type="dxa" w:w="600"/>
            <w:tcBorders>
              <w:top w:val="single" w:color="CCCCCC" w:sz="1"/>
              <w:left w:val="single" w:color="CCCCCC" w:sz="1"/>
              <w:bottom w:val="single" w:color="CCCCCC" w:sz="1"/>
              <w:right w:val="single" w:color="CCCCCC" w:sz="1"/>
            </w:tcBorders>
            <w:shd w:fill="F5F5F5" w:val="clear"/>
            <w:tcMar>
              <w:top w:type="dxa" w:w="100"/>
              <w:left w:type="dxa" w:w="140"/>
              <w:bottom w:type="dxa" w:w="100"/>
              <w:right w:type="dxa" w:w="140"/>
            </w:tcMar>
            <w:vAlign w:val="center"/>
          </w:tcPr>
          <w:p>
            <w:pPr>
              <w:jc w:val="center"/>
            </w:pPr>
            <w:r>
              <w:rPr>
                <w:rFonts w:ascii="Arial" w:cs="Arial" w:eastAsia="Arial" w:hAnsi="Arial"/>
                <w:color w:val="555555"/>
                <w:sz w:val="20"/>
                <w:szCs w:val="20"/>
              </w:rPr>
              <w:t xml:space="preserve">2</w:t>
            </w:r>
          </w:p>
        </w:tc>
        <w:tc>
          <w:tcPr>
            <w:tcW w:type="dxa" w:w="2800"/>
            <w:tcBorders>
              <w:top w:val="single" w:color="CCCCCC" w:sz="1"/>
              <w:left w:val="single" w:color="CCCCCC" w:sz="1"/>
              <w:bottom w:val="single" w:color="CCCCCC" w:sz="1"/>
              <w:right w:val="single" w:color="CCCCCC" w:sz="1"/>
            </w:tcBorders>
            <w:shd w:fill="F5F5F5" w:val="clear"/>
            <w:tcMar>
              <w:top w:type="dxa" w:w="100"/>
              <w:left w:type="dxa" w:w="140"/>
              <w:bottom w:type="dxa" w:w="100"/>
              <w:right w:type="dxa" w:w="140"/>
            </w:tcMar>
            <w:vAlign w:val="center"/>
          </w:tcPr>
          <w:p>
            <w:pPr>
              <w:spacing w:after="0" w:line="280"/>
            </w:pPr>
            <w:r>
              <w:rPr>
                <w:rFonts w:ascii="Arial" w:cs="Arial" w:eastAsia="Arial" w:hAnsi="Arial"/>
                <w:b/>
                <w:bCs/>
                <w:color w:val="222222"/>
                <w:sz w:val="20"/>
                <w:szCs w:val="20"/>
              </w:rPr>
              <w:t xml:space="preserve">🔄  Rezidive ohne Ende</w:t>
            </w:r>
          </w:p>
        </w:tc>
        <w:tc>
          <w:tcPr>
            <w:tcW w:type="dxa" w:w="5960"/>
            <w:tcBorders>
              <w:top w:val="single" w:color="CCCCCC" w:sz="1"/>
              <w:left w:val="single" w:color="CCCCCC" w:sz="1"/>
              <w:bottom w:val="single" w:color="CCCCCC" w:sz="1"/>
              <w:right w:val="single" w:color="CCCCCC" w:sz="1"/>
            </w:tcBorders>
            <w:shd w:fill="F5F5F5" w:val="clear"/>
            <w:tcMar>
              <w:top w:type="dxa" w:w="100"/>
              <w:left w:type="dxa" w:w="140"/>
              <w:bottom w:type="dxa" w:w="100"/>
              <w:right w:type="dxa" w:w="140"/>
            </w:tcMar>
            <w:vAlign w:val="center"/>
          </w:tcPr>
          <w:p>
            <w:pPr>
              <w:spacing w:after="0" w:line="280"/>
            </w:pPr>
            <w:r>
              <w:rPr>
                <w:rFonts w:ascii="Arial" w:cs="Arial" w:eastAsia="Arial" w:hAnsi="Arial"/>
                <w:color w:val="222222"/>
                <w:sz w:val="20"/>
                <w:szCs w:val="20"/>
              </w:rPr>
              <w:t xml:space="preserve">Ohne gezielte Therapie bilden sich Cystinsteine immer wieder neu. Bis zu 60% Rezidivrate — ein Teufelskreis für Betroffene.</w:t>
            </w:r>
          </w:p>
        </w:tc>
      </w:tr>
      <w:tr>
        <w:tc>
          <w:tcPr>
            <w:tcW w:type="dxa" w:w="6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vAlign w:val="center"/>
          </w:tcPr>
          <w:p>
            <w:pPr>
              <w:jc w:val="center"/>
            </w:pPr>
            <w:r>
              <w:rPr>
                <w:rFonts w:ascii="Arial" w:cs="Arial" w:eastAsia="Arial" w:hAnsi="Arial"/>
                <w:color w:val="555555"/>
                <w:sz w:val="20"/>
                <w:szCs w:val="20"/>
              </w:rPr>
              <w:t xml:space="preserve">3</w:t>
            </w:r>
          </w:p>
        </w:tc>
        <w:tc>
          <w:tcPr>
            <w:tcW w:type="dxa" w:w="28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vAlign w:val="center"/>
          </w:tcPr>
          <w:p>
            <w:pPr>
              <w:spacing w:after="0" w:line="280"/>
            </w:pPr>
            <w:r>
              <w:rPr>
                <w:rFonts w:ascii="Arial" w:cs="Arial" w:eastAsia="Arial" w:hAnsi="Arial"/>
                <w:b/>
                <w:bCs/>
                <w:color w:val="222222"/>
                <w:sz w:val="20"/>
                <w:szCs w:val="20"/>
              </w:rPr>
              <w:t xml:space="preserve">🏥  Wiederholte Operationen</w:t>
            </w:r>
          </w:p>
        </w:tc>
        <w:tc>
          <w:tcPr>
            <w:tcW w:type="dxa" w:w="59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vAlign w:val="center"/>
          </w:tcPr>
          <w:p>
            <w:pPr>
              <w:spacing w:after="0" w:line="280"/>
            </w:pPr>
            <w:r>
              <w:rPr>
                <w:rFonts w:ascii="Arial" w:cs="Arial" w:eastAsia="Arial" w:hAnsi="Arial"/>
                <w:color w:val="222222"/>
                <w:sz w:val="20"/>
                <w:szCs w:val="20"/>
              </w:rPr>
              <w:t xml:space="preserve">Viele Cystinurie-Patienten müssen mehrfach operiert werden. Jeder Eingriff belastet die Niere zusätzlich.</w:t>
            </w:r>
          </w:p>
        </w:tc>
      </w:tr>
      <w:tr>
        <w:tc>
          <w:tcPr>
            <w:tcW w:type="dxa" w:w="600"/>
            <w:tcBorders>
              <w:top w:val="single" w:color="CCCCCC" w:sz="1"/>
              <w:left w:val="single" w:color="CCCCCC" w:sz="1"/>
              <w:bottom w:val="single" w:color="CCCCCC" w:sz="1"/>
              <w:right w:val="single" w:color="CCCCCC" w:sz="1"/>
            </w:tcBorders>
            <w:shd w:fill="F5F5F5" w:val="clear"/>
            <w:tcMar>
              <w:top w:type="dxa" w:w="100"/>
              <w:left w:type="dxa" w:w="140"/>
              <w:bottom w:type="dxa" w:w="100"/>
              <w:right w:type="dxa" w:w="140"/>
            </w:tcMar>
            <w:vAlign w:val="center"/>
          </w:tcPr>
          <w:p>
            <w:pPr>
              <w:jc w:val="center"/>
            </w:pPr>
            <w:r>
              <w:rPr>
                <w:rFonts w:ascii="Arial" w:cs="Arial" w:eastAsia="Arial" w:hAnsi="Arial"/>
                <w:color w:val="555555"/>
                <w:sz w:val="20"/>
                <w:szCs w:val="20"/>
              </w:rPr>
              <w:t xml:space="preserve">4</w:t>
            </w:r>
          </w:p>
        </w:tc>
        <w:tc>
          <w:tcPr>
            <w:tcW w:type="dxa" w:w="2800"/>
            <w:tcBorders>
              <w:top w:val="single" w:color="CCCCCC" w:sz="1"/>
              <w:left w:val="single" w:color="CCCCCC" w:sz="1"/>
              <w:bottom w:val="single" w:color="CCCCCC" w:sz="1"/>
              <w:right w:val="single" w:color="CCCCCC" w:sz="1"/>
            </w:tcBorders>
            <w:shd w:fill="F5F5F5" w:val="clear"/>
            <w:tcMar>
              <w:top w:type="dxa" w:w="100"/>
              <w:left w:type="dxa" w:w="140"/>
              <w:bottom w:type="dxa" w:w="100"/>
              <w:right w:type="dxa" w:w="140"/>
            </w:tcMar>
            <w:vAlign w:val="center"/>
          </w:tcPr>
          <w:p>
            <w:pPr>
              <w:spacing w:after="0" w:line="280"/>
            </w:pPr>
            <w:r>
              <w:rPr>
                <w:rFonts w:ascii="Arial" w:cs="Arial" w:eastAsia="Arial" w:hAnsi="Arial"/>
                <w:b/>
                <w:bCs/>
                <w:color w:val="222222"/>
                <w:sz w:val="20"/>
                <w:szCs w:val="20"/>
              </w:rPr>
              <w:t xml:space="preserve">⏳  Diagnose oft viel zu spät</w:t>
            </w:r>
          </w:p>
        </w:tc>
        <w:tc>
          <w:tcPr>
            <w:tcW w:type="dxa" w:w="5960"/>
            <w:tcBorders>
              <w:top w:val="single" w:color="CCCCCC" w:sz="1"/>
              <w:left w:val="single" w:color="CCCCCC" w:sz="1"/>
              <w:bottom w:val="single" w:color="CCCCCC" w:sz="1"/>
              <w:right w:val="single" w:color="CCCCCC" w:sz="1"/>
            </w:tcBorders>
            <w:shd w:fill="F5F5F5" w:val="clear"/>
            <w:tcMar>
              <w:top w:type="dxa" w:w="100"/>
              <w:left w:type="dxa" w:w="140"/>
              <w:bottom w:type="dxa" w:w="100"/>
              <w:right w:type="dxa" w:w="140"/>
            </w:tcMar>
            <w:vAlign w:val="center"/>
          </w:tcPr>
          <w:p>
            <w:pPr>
              <w:spacing w:after="0" w:line="280"/>
            </w:pPr>
            <w:r>
              <w:rPr>
                <w:rFonts w:ascii="Arial" w:cs="Arial" w:eastAsia="Arial" w:hAnsi="Arial"/>
                <w:color w:val="222222"/>
                <w:sz w:val="20"/>
                <w:szCs w:val="20"/>
              </w:rPr>
              <w:t xml:space="preserve">Ohne Steinanalyse dauert es oft Jahre bis zur richtigen Diagnose. Wertvolle Zeit, in der die Niere Schaden nimmt.</w:t>
            </w:r>
          </w:p>
        </w:tc>
      </w:tr>
      <w:tr>
        <w:tc>
          <w:tcPr>
            <w:tcW w:type="dxa" w:w="6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vAlign w:val="center"/>
          </w:tcPr>
          <w:p>
            <w:pPr>
              <w:jc w:val="center"/>
            </w:pPr>
            <w:r>
              <w:rPr>
                <w:rFonts w:ascii="Arial" w:cs="Arial" w:eastAsia="Arial" w:hAnsi="Arial"/>
                <w:color w:val="555555"/>
                <w:sz w:val="20"/>
                <w:szCs w:val="20"/>
              </w:rPr>
              <w:t xml:space="preserve">5</w:t>
            </w:r>
          </w:p>
        </w:tc>
        <w:tc>
          <w:tcPr>
            <w:tcW w:type="dxa" w:w="28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vAlign w:val="center"/>
          </w:tcPr>
          <w:p>
            <w:pPr>
              <w:spacing w:after="0" w:line="280"/>
            </w:pPr>
            <w:r>
              <w:rPr>
                <w:rFonts w:ascii="Arial" w:cs="Arial" w:eastAsia="Arial" w:hAnsi="Arial"/>
                <w:b/>
                <w:bCs/>
                <w:color w:val="222222"/>
                <w:sz w:val="20"/>
                <w:szCs w:val="20"/>
              </w:rPr>
              <w:t xml:space="preserve">🫘  Nierenfunktion in Gefahr</w:t>
            </w:r>
          </w:p>
        </w:tc>
        <w:tc>
          <w:tcPr>
            <w:tcW w:type="dxa" w:w="59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vAlign w:val="center"/>
          </w:tcPr>
          <w:p>
            <w:pPr>
              <w:spacing w:after="0" w:line="280"/>
            </w:pPr>
            <w:r>
              <w:rPr>
                <w:rFonts w:ascii="Arial" w:cs="Arial" w:eastAsia="Arial" w:hAnsi="Arial"/>
                <w:color w:val="222222"/>
                <w:sz w:val="20"/>
                <w:szCs w:val="20"/>
              </w:rPr>
              <w:t xml:space="preserve">Wiederholte Steinereignisse können zum Verlust der Nierenfunktion führen — besonders bei jungen Patienten.</w:t>
            </w:r>
          </w:p>
        </w:tc>
      </w:tr>
      <w:tr>
        <w:tc>
          <w:tcPr>
            <w:tcW w:type="dxa" w:w="600"/>
            <w:tcBorders>
              <w:top w:val="single" w:color="CCCCCC" w:sz="1"/>
              <w:left w:val="single" w:color="CCCCCC" w:sz="1"/>
              <w:bottom w:val="single" w:color="CCCCCC" w:sz="1"/>
              <w:right w:val="single" w:color="CCCCCC" w:sz="1"/>
            </w:tcBorders>
            <w:shd w:fill="F5F5F5" w:val="clear"/>
            <w:tcMar>
              <w:top w:type="dxa" w:w="100"/>
              <w:left w:type="dxa" w:w="140"/>
              <w:bottom w:type="dxa" w:w="100"/>
              <w:right w:type="dxa" w:w="140"/>
            </w:tcMar>
            <w:vAlign w:val="center"/>
          </w:tcPr>
          <w:p>
            <w:pPr>
              <w:jc w:val="center"/>
            </w:pPr>
            <w:r>
              <w:rPr>
                <w:rFonts w:ascii="Arial" w:cs="Arial" w:eastAsia="Arial" w:hAnsi="Arial"/>
                <w:color w:val="555555"/>
                <w:sz w:val="20"/>
                <w:szCs w:val="20"/>
              </w:rPr>
              <w:t xml:space="preserve">6</w:t>
            </w:r>
          </w:p>
        </w:tc>
        <w:tc>
          <w:tcPr>
            <w:tcW w:type="dxa" w:w="2800"/>
            <w:tcBorders>
              <w:top w:val="single" w:color="CCCCCC" w:sz="1"/>
              <w:left w:val="single" w:color="CCCCCC" w:sz="1"/>
              <w:bottom w:val="single" w:color="CCCCCC" w:sz="1"/>
              <w:right w:val="single" w:color="CCCCCC" w:sz="1"/>
            </w:tcBorders>
            <w:shd w:fill="F5F5F5" w:val="clear"/>
            <w:tcMar>
              <w:top w:type="dxa" w:w="100"/>
              <w:left w:type="dxa" w:w="140"/>
              <w:bottom w:type="dxa" w:w="100"/>
              <w:right w:type="dxa" w:w="140"/>
            </w:tcMar>
            <w:vAlign w:val="center"/>
          </w:tcPr>
          <w:p>
            <w:pPr>
              <w:spacing w:after="0" w:line="280"/>
            </w:pPr>
            <w:r>
              <w:rPr>
                <w:rFonts w:ascii="Arial" w:cs="Arial" w:eastAsia="Arial" w:hAnsi="Arial"/>
                <w:b/>
                <w:bCs/>
                <w:color w:val="222222"/>
                <w:sz w:val="20"/>
                <w:szCs w:val="20"/>
              </w:rPr>
              <w:t xml:space="preserve">👶  Junge Patienten betroffen</w:t>
            </w:r>
          </w:p>
        </w:tc>
        <w:tc>
          <w:tcPr>
            <w:tcW w:type="dxa" w:w="5960"/>
            <w:tcBorders>
              <w:top w:val="single" w:color="CCCCCC" w:sz="1"/>
              <w:left w:val="single" w:color="CCCCCC" w:sz="1"/>
              <w:bottom w:val="single" w:color="CCCCCC" w:sz="1"/>
              <w:right w:val="single" w:color="CCCCCC" w:sz="1"/>
            </w:tcBorders>
            <w:shd w:fill="F5F5F5" w:val="clear"/>
            <w:tcMar>
              <w:top w:type="dxa" w:w="100"/>
              <w:left w:type="dxa" w:w="140"/>
              <w:bottom w:type="dxa" w:w="100"/>
              <w:right w:type="dxa" w:w="140"/>
            </w:tcMar>
            <w:vAlign w:val="center"/>
          </w:tcPr>
          <w:p>
            <w:pPr>
              <w:spacing w:after="0" w:line="280"/>
            </w:pPr>
            <w:r>
              <w:rPr>
                <w:rFonts w:ascii="Arial" w:cs="Arial" w:eastAsia="Arial" w:hAnsi="Arial"/>
                <w:color w:val="222222"/>
                <w:sz w:val="20"/>
                <w:szCs w:val="20"/>
              </w:rPr>
              <w:t xml:space="preserve">Cystinurie manifestiert sich oft schon im Kindes- und Jugendalter. Betroffene leiden ihr ganzes Leben.</w:t>
            </w:r>
          </w:p>
        </w:tc>
      </w:tr>
      <w:tr>
        <w:tc>
          <w:tcPr>
            <w:tcW w:type="dxa" w:w="6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vAlign w:val="center"/>
          </w:tcPr>
          <w:p>
            <w:pPr>
              <w:jc w:val="center"/>
            </w:pPr>
            <w:r>
              <w:rPr>
                <w:rFonts w:ascii="Arial" w:cs="Arial" w:eastAsia="Arial" w:hAnsi="Arial"/>
                <w:color w:val="555555"/>
                <w:sz w:val="20"/>
                <w:szCs w:val="20"/>
              </w:rPr>
              <w:t xml:space="preserve">7</w:t>
            </w:r>
          </w:p>
        </w:tc>
        <w:tc>
          <w:tcPr>
            <w:tcW w:type="dxa" w:w="28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vAlign w:val="center"/>
          </w:tcPr>
          <w:p>
            <w:pPr>
              <w:spacing w:after="0" w:line="280"/>
            </w:pPr>
            <w:r>
              <w:rPr>
                <w:rFonts w:ascii="Arial" w:cs="Arial" w:eastAsia="Arial" w:hAnsi="Arial"/>
                <w:b/>
                <w:bCs/>
                <w:color w:val="222222"/>
                <w:sz w:val="20"/>
                <w:szCs w:val="20"/>
              </w:rPr>
              <w:t xml:space="preserve">🧬  Genetisch bedingt — lebenslang</w:t>
            </w:r>
          </w:p>
        </w:tc>
        <w:tc>
          <w:tcPr>
            <w:tcW w:type="dxa" w:w="59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vAlign w:val="center"/>
          </w:tcPr>
          <w:p>
            <w:pPr>
              <w:spacing w:after="0" w:line="280"/>
            </w:pPr>
            <w:r>
              <w:rPr>
                <w:rFonts w:ascii="Arial" w:cs="Arial" w:eastAsia="Arial" w:hAnsi="Arial"/>
                <w:color w:val="222222"/>
                <w:sz w:val="20"/>
                <w:szCs w:val="20"/>
              </w:rPr>
              <w:t xml:space="preserve">Cystinurie ist eine autosomal-rezessiv vererbte Erkrankung. Die Steinbildung hört ohne Therapie nie auf.</w:t>
            </w:r>
          </w:p>
        </w:tc>
      </w:tr>
      <w:tr>
        <w:tc>
          <w:tcPr>
            <w:tcW w:type="dxa" w:w="600"/>
            <w:tcBorders>
              <w:top w:val="single" w:color="CCCCCC" w:sz="1"/>
              <w:left w:val="single" w:color="CCCCCC" w:sz="1"/>
              <w:bottom w:val="single" w:color="CCCCCC" w:sz="1"/>
              <w:right w:val="single" w:color="CCCCCC" w:sz="1"/>
            </w:tcBorders>
            <w:shd w:fill="F5F5F5" w:val="clear"/>
            <w:tcMar>
              <w:top w:type="dxa" w:w="100"/>
              <w:left w:type="dxa" w:w="140"/>
              <w:bottom w:type="dxa" w:w="100"/>
              <w:right w:type="dxa" w:w="140"/>
            </w:tcMar>
            <w:vAlign w:val="center"/>
          </w:tcPr>
          <w:p>
            <w:pPr>
              <w:jc w:val="center"/>
            </w:pPr>
            <w:r>
              <w:rPr>
                <w:rFonts w:ascii="Arial" w:cs="Arial" w:eastAsia="Arial" w:hAnsi="Arial"/>
                <w:color w:val="555555"/>
                <w:sz w:val="20"/>
                <w:szCs w:val="20"/>
              </w:rPr>
              <w:t xml:space="preserve">8</w:t>
            </w:r>
          </w:p>
        </w:tc>
        <w:tc>
          <w:tcPr>
            <w:tcW w:type="dxa" w:w="2800"/>
            <w:tcBorders>
              <w:top w:val="single" w:color="CCCCCC" w:sz="1"/>
              <w:left w:val="single" w:color="CCCCCC" w:sz="1"/>
              <w:bottom w:val="single" w:color="CCCCCC" w:sz="1"/>
              <w:right w:val="single" w:color="CCCCCC" w:sz="1"/>
            </w:tcBorders>
            <w:shd w:fill="F5F5F5" w:val="clear"/>
            <w:tcMar>
              <w:top w:type="dxa" w:w="100"/>
              <w:left w:type="dxa" w:w="140"/>
              <w:bottom w:type="dxa" w:w="100"/>
              <w:right w:type="dxa" w:w="140"/>
            </w:tcMar>
            <w:vAlign w:val="center"/>
          </w:tcPr>
          <w:p>
            <w:pPr>
              <w:spacing w:after="0" w:line="280"/>
            </w:pPr>
            <w:r>
              <w:rPr>
                <w:rFonts w:ascii="Arial" w:cs="Arial" w:eastAsia="Arial" w:hAnsi="Arial"/>
                <w:b/>
                <w:bCs/>
                <w:color w:val="222222"/>
                <w:sz w:val="20"/>
                <w:szCs w:val="20"/>
              </w:rPr>
              <w:t xml:space="preserve">😔  Lebensqualität massiv eingeschränkt</w:t>
            </w:r>
          </w:p>
        </w:tc>
        <w:tc>
          <w:tcPr>
            <w:tcW w:type="dxa" w:w="5960"/>
            <w:tcBorders>
              <w:top w:val="single" w:color="CCCCCC" w:sz="1"/>
              <w:left w:val="single" w:color="CCCCCC" w:sz="1"/>
              <w:bottom w:val="single" w:color="CCCCCC" w:sz="1"/>
              <w:right w:val="single" w:color="CCCCCC" w:sz="1"/>
            </w:tcBorders>
            <w:shd w:fill="F5F5F5" w:val="clear"/>
            <w:tcMar>
              <w:top w:type="dxa" w:w="100"/>
              <w:left w:type="dxa" w:w="140"/>
              <w:bottom w:type="dxa" w:w="100"/>
              <w:right w:type="dxa" w:w="140"/>
            </w:tcMar>
            <w:vAlign w:val="center"/>
          </w:tcPr>
          <w:p>
            <w:pPr>
              <w:spacing w:after="0" w:line="280"/>
            </w:pPr>
            <w:r>
              <w:rPr>
                <w:rFonts w:ascii="Arial" w:cs="Arial" w:eastAsia="Arial" w:hAnsi="Arial"/>
                <w:color w:val="222222"/>
                <w:sz w:val="20"/>
                <w:szCs w:val="20"/>
              </w:rPr>
              <w:t xml:space="preserve">Ständige Angst vor der nächsten Kolik, Krankenhausaufenthalte, OPs — die Lebensqualität sinkt drastisch.</w:t>
            </w:r>
          </w:p>
        </w:tc>
      </w:tr>
      <w:tr>
        <w:tc>
          <w:tcPr>
            <w:tcW w:type="dxa" w:w="6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vAlign w:val="center"/>
          </w:tcPr>
          <w:p>
            <w:pPr>
              <w:jc w:val="center"/>
            </w:pPr>
            <w:r>
              <w:rPr>
                <w:rFonts w:ascii="Arial" w:cs="Arial" w:eastAsia="Arial" w:hAnsi="Arial"/>
                <w:color w:val="555555"/>
                <w:sz w:val="20"/>
                <w:szCs w:val="20"/>
              </w:rPr>
              <w:t xml:space="preserve">9</w:t>
            </w:r>
          </w:p>
        </w:tc>
        <w:tc>
          <w:tcPr>
            <w:tcW w:type="dxa" w:w="28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vAlign w:val="center"/>
          </w:tcPr>
          <w:p>
            <w:pPr>
              <w:spacing w:after="0" w:line="280"/>
            </w:pPr>
            <w:r>
              <w:rPr>
                <w:rFonts w:ascii="Arial" w:cs="Arial" w:eastAsia="Arial" w:hAnsi="Arial"/>
                <w:b/>
                <w:bCs/>
                <w:color w:val="222222"/>
                <w:sz w:val="20"/>
                <w:szCs w:val="20"/>
              </w:rPr>
              <w:t xml:space="preserve">❓  Fehlende Steinanalyse = Blindflug</w:t>
            </w:r>
          </w:p>
        </w:tc>
        <w:tc>
          <w:tcPr>
            <w:tcW w:type="dxa" w:w="59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vAlign w:val="center"/>
          </w:tcPr>
          <w:p>
            <w:pPr>
              <w:spacing w:after="0" w:line="280"/>
            </w:pPr>
            <w:r>
              <w:rPr>
                <w:rFonts w:ascii="Arial" w:cs="Arial" w:eastAsia="Arial" w:hAnsi="Arial"/>
                <w:color w:val="222222"/>
                <w:sz w:val="20"/>
                <w:szCs w:val="20"/>
              </w:rPr>
              <w:t xml:space="preserve">Ohne Steinanalyse wird symptomatisch statt kausal behandelt. Die wahre Ursache bleibt im Dunkeln.</w:t>
            </w:r>
          </w:p>
        </w:tc>
      </w:tr>
      <w:tr>
        <w:tc>
          <w:tcPr>
            <w:tcW w:type="dxa" w:w="600"/>
            <w:tcBorders>
              <w:top w:val="single" w:color="CCCCCC" w:sz="1"/>
              <w:left w:val="single" w:color="CCCCCC" w:sz="1"/>
              <w:bottom w:val="single" w:color="CCCCCC" w:sz="1"/>
              <w:right w:val="single" w:color="CCCCCC" w:sz="1"/>
            </w:tcBorders>
            <w:shd w:fill="F5F5F5" w:val="clear"/>
            <w:tcMar>
              <w:top w:type="dxa" w:w="100"/>
              <w:left w:type="dxa" w:w="140"/>
              <w:bottom w:type="dxa" w:w="100"/>
              <w:right w:type="dxa" w:w="140"/>
            </w:tcMar>
            <w:vAlign w:val="center"/>
          </w:tcPr>
          <w:p>
            <w:pPr>
              <w:jc w:val="center"/>
            </w:pPr>
            <w:r>
              <w:rPr>
                <w:rFonts w:ascii="Arial" w:cs="Arial" w:eastAsia="Arial" w:hAnsi="Arial"/>
                <w:color w:val="555555"/>
                <w:sz w:val="20"/>
                <w:szCs w:val="20"/>
              </w:rPr>
              <w:t xml:space="preserve">10</w:t>
            </w:r>
          </w:p>
        </w:tc>
        <w:tc>
          <w:tcPr>
            <w:tcW w:type="dxa" w:w="2800"/>
            <w:tcBorders>
              <w:top w:val="single" w:color="CCCCCC" w:sz="1"/>
              <w:left w:val="single" w:color="CCCCCC" w:sz="1"/>
              <w:bottom w:val="single" w:color="CCCCCC" w:sz="1"/>
              <w:right w:val="single" w:color="CCCCCC" w:sz="1"/>
            </w:tcBorders>
            <w:shd w:fill="F5F5F5" w:val="clear"/>
            <w:tcMar>
              <w:top w:type="dxa" w:w="100"/>
              <w:left w:type="dxa" w:w="140"/>
              <w:bottom w:type="dxa" w:w="100"/>
              <w:right w:type="dxa" w:w="140"/>
            </w:tcMar>
            <w:vAlign w:val="center"/>
          </w:tcPr>
          <w:p>
            <w:pPr>
              <w:spacing w:after="0" w:line="280"/>
            </w:pPr>
            <w:r>
              <w:rPr>
                <w:rFonts w:ascii="Arial" w:cs="Arial" w:eastAsia="Arial" w:hAnsi="Arial"/>
                <w:b/>
                <w:bCs/>
                <w:color w:val="222222"/>
                <w:sz w:val="20"/>
                <w:szCs w:val="20"/>
              </w:rPr>
              <w:t xml:space="preserve">📉  Kosten für das Gesundheitssystem</w:t>
            </w:r>
          </w:p>
        </w:tc>
        <w:tc>
          <w:tcPr>
            <w:tcW w:type="dxa" w:w="5960"/>
            <w:tcBorders>
              <w:top w:val="single" w:color="CCCCCC" w:sz="1"/>
              <w:left w:val="single" w:color="CCCCCC" w:sz="1"/>
              <w:bottom w:val="single" w:color="CCCCCC" w:sz="1"/>
              <w:right w:val="single" w:color="CCCCCC" w:sz="1"/>
            </w:tcBorders>
            <w:shd w:fill="F5F5F5" w:val="clear"/>
            <w:tcMar>
              <w:top w:type="dxa" w:w="100"/>
              <w:left w:type="dxa" w:w="140"/>
              <w:bottom w:type="dxa" w:w="100"/>
              <w:right w:type="dxa" w:w="140"/>
            </w:tcMar>
            <w:vAlign w:val="center"/>
          </w:tcPr>
          <w:p>
            <w:pPr>
              <w:spacing w:after="0" w:line="280"/>
            </w:pPr>
            <w:r>
              <w:rPr>
                <w:rFonts w:ascii="Arial" w:cs="Arial" w:eastAsia="Arial" w:hAnsi="Arial"/>
                <w:color w:val="222222"/>
                <w:sz w:val="20"/>
                <w:szCs w:val="20"/>
              </w:rPr>
              <w:t xml:space="preserve">Wiederholte Notaufnahmen, OPs und Krankheitstage — unerkannte Cystinurie verursacht immense Folgekosten.</w:t>
            </w:r>
          </w:p>
        </w:tc>
      </w:tr>
    </w:tbl>
    <w:p>
      <w:pPr>
        <w:spacing w:after="0" w:before="100"/>
      </w:pPr>
    </w:p>
    <w:p>
      <w:pPr>
        <w:pStyle w:val="Heading2"/>
        <w:spacing w:after="180" w:before="280"/>
      </w:pPr>
      <w:r>
        <w:rPr>
          <w:rFonts w:ascii="Arial" w:cs="Arial" w:eastAsia="Arial" w:hAnsi="Arial"/>
          <w:b/>
          <w:bCs/>
          <w:color w:val="00B894"/>
          <w:sz w:val="28"/>
          <w:szCs w:val="28"/>
        </w:rPr>
        <w:t xml:space="preserve">3.3 Edukations-Dichte pro Spieldurchgang</w:t>
      </w:r>
    </w:p>
    <w:p>
      <w:pPr>
        <w:spacing w:after="160" w:before="0" w:line="300"/>
        <w:jc w:val="left"/>
      </w:pPr>
      <w:r>
        <w:rPr>
          <w:rFonts w:ascii="Arial" w:cs="Arial" w:eastAsia="Arial" w:hAnsi="Arial"/>
          <w:b w:val="false"/>
          <w:bCs w:val="false"/>
          <w:i w:val="false"/>
          <w:iCs w:val="false"/>
          <w:color w:val="222222"/>
          <w:sz w:val="22"/>
          <w:szCs w:val="22"/>
        </w:rPr>
        <w:t xml:space="preserve">Pro Level werden mindestens 5 Tore erzielt (5:0 bis 5:4). Bei 3 Leveln ergibt sich eine Mindestanzahl von 15 Edu-Einblendungen pro Spieldurchgang, zuzüglich 3 Level-Übergangsscreens und dem Abschlussscreen. Ein typischer Durchgang dauert 3–5 Minuten und vermittelt dabei bis zu 20 verschiedene Botschaften.</w:t>
      </w:r>
    </w:p>
    <w:p>
      <w:pPr>
        <w:pStyle w:val="Heading1"/>
        <w:spacing w:after="180" w:before="360"/>
      </w:pPr>
      <w:r>
        <w:rPr>
          <w:rFonts w:ascii="Arial" w:cs="Arial" w:eastAsia="Arial" w:hAnsi="Arial"/>
          <w:b/>
          <w:bCs/>
          <w:color w:val="1A1A2E"/>
          <w:sz w:val="32"/>
          <w:szCs w:val="32"/>
        </w:rPr>
        <w:t xml:space="preserve">4. Visuelles Design</w:t>
      </w:r>
    </w:p>
    <w:p>
      <w:pPr>
        <w:pStyle w:val="Heading2"/>
        <w:spacing w:after="180" w:before="280"/>
      </w:pPr>
      <w:r>
        <w:rPr>
          <w:rFonts w:ascii="Arial" w:cs="Arial" w:eastAsia="Arial" w:hAnsi="Arial"/>
          <w:b/>
          <w:bCs/>
          <w:color w:val="00B894"/>
          <w:sz w:val="28"/>
          <w:szCs w:val="28"/>
        </w:rPr>
        <w:t xml:space="preserve">4.1 Farbkonzept</w:t>
      </w:r>
    </w:p>
    <w:p>
      <w:pPr>
        <w:pStyle w:val="ListParagraph"/>
        <w:numPr>
          <w:ilvl w:val="0"/>
          <w:numId w:val="3"/>
        </w:numPr>
        <w:spacing w:after="80" w:line="300"/>
      </w:pPr>
      <w:r>
        <w:rPr>
          <w:rFonts w:ascii="Arial" w:cs="Arial" w:eastAsia="Arial" w:hAnsi="Arial"/>
          <w:b/>
          <w:bCs/>
          <w:sz w:val="22"/>
          <w:szCs w:val="22"/>
        </w:rPr>
        <w:t xml:space="preserve">Hintergrund:</w:t>
      </w:r>
      <w:r>
        <w:rPr>
          <w:rFonts w:ascii="Arial" w:cs="Arial" w:eastAsia="Arial" w:hAnsi="Arial"/>
          <w:sz w:val="22"/>
          <w:szCs w:val="22"/>
        </w:rPr>
        <w:t xml:space="preserve"> Dunkles Spielfeld (#0d0d1a) mit subtiler Gitterstruktur</w:t>
      </w:r>
    </w:p>
    <w:p>
      <w:pPr>
        <w:pStyle w:val="ListParagraph"/>
        <w:numPr>
          <w:ilvl w:val="0"/>
          <w:numId w:val="3"/>
        </w:numPr>
        <w:spacing w:after="80" w:line="300"/>
      </w:pPr>
      <w:r>
        <w:rPr>
          <w:rFonts w:ascii="Arial" w:cs="Arial" w:eastAsia="Arial" w:hAnsi="Arial"/>
          <w:b/>
          <w:bCs/>
          <w:color w:val="00B894"/>
          <w:sz w:val="22"/>
          <w:szCs w:val="22"/>
        </w:rPr>
        <w:t xml:space="preserve">Spieler/Thiola:</w:t>
      </w:r>
      <w:r>
        <w:rPr>
          <w:rFonts w:ascii="Arial" w:cs="Arial" w:eastAsia="Arial" w:hAnsi="Arial"/>
          <w:sz w:val="22"/>
          <w:szCs w:val="22"/>
        </w:rPr>
        <w:t xml:space="preserve"> Grün-Töne (#00b894, #4ecdc4, #55efc4) für Paddle, Wände und positive Screens</w:t>
      </w:r>
    </w:p>
    <w:p>
      <w:pPr>
        <w:pStyle w:val="ListParagraph"/>
        <w:numPr>
          <w:ilvl w:val="0"/>
          <w:numId w:val="3"/>
        </w:numPr>
        <w:spacing w:after="80" w:line="300"/>
      </w:pPr>
      <w:r>
        <w:rPr>
          <w:rFonts w:ascii="Arial" w:cs="Arial" w:eastAsia="Arial" w:hAnsi="Arial"/>
          <w:b/>
          <w:bCs/>
          <w:color w:val="E85D2A"/>
          <w:sz w:val="22"/>
          <w:szCs w:val="22"/>
        </w:rPr>
        <w:t xml:space="preserve">CPU/Warnung:</w:t>
      </w:r>
      <w:r>
        <w:rPr>
          <w:rFonts w:ascii="Arial" w:cs="Arial" w:eastAsia="Arial" w:hAnsi="Arial"/>
          <w:sz w:val="22"/>
          <w:szCs w:val="22"/>
        </w:rPr>
        <w:t xml:space="preserve"> Orange-Töne (#ff6b35, #e85d2a) für gegnerisches Paddle und Leidens-Screens</w:t>
      </w:r>
    </w:p>
    <w:p>
      <w:pPr>
        <w:pStyle w:val="ListParagraph"/>
        <w:numPr>
          <w:ilvl w:val="0"/>
          <w:numId w:val="3"/>
        </w:numPr>
        <w:spacing w:after="160" w:line="300"/>
      </w:pPr>
      <w:r>
        <w:rPr>
          <w:rFonts w:ascii="Arial" w:cs="Arial" w:eastAsia="Arial" w:hAnsi="Arial"/>
          <w:b/>
          <w:bCs/>
          <w:sz w:val="22"/>
          <w:szCs w:val="22"/>
        </w:rPr>
        <w:t xml:space="preserve">Ball:</w:t>
      </w:r>
      <w:r>
        <w:rPr>
          <w:rFonts w:ascii="Arial" w:cs="Arial" w:eastAsia="Arial" w:hAnsi="Arial"/>
          <w:sz w:val="22"/>
          <w:szCs w:val="22"/>
        </w:rPr>
        <w:t xml:space="preserve"> Weiß mit Glow-Effekt und Nachleuchtspur (Trails)</w:t>
      </w:r>
    </w:p>
    <w:p>
      <w:pPr>
        <w:pStyle w:val="Heading2"/>
        <w:spacing w:after="180" w:before="280"/>
      </w:pPr>
      <w:r>
        <w:rPr>
          <w:rFonts w:ascii="Arial" w:cs="Arial" w:eastAsia="Arial" w:hAnsi="Arial"/>
          <w:b/>
          <w:bCs/>
          <w:color w:val="00B894"/>
          <w:sz w:val="28"/>
          <w:szCs w:val="28"/>
        </w:rPr>
        <w:t xml:space="preserve">4.2 Thiola-Wände</w:t>
      </w:r>
    </w:p>
    <w:p>
      <w:pPr>
        <w:spacing w:after="160" w:before="0" w:line="300"/>
        <w:jc w:val="left"/>
      </w:pPr>
      <w:r>
        <w:rPr>
          <w:rFonts w:ascii="Arial" w:cs="Arial" w:eastAsia="Arial" w:hAnsi="Arial"/>
          <w:b w:val="false"/>
          <w:bCs w:val="false"/>
          <w:i w:val="false"/>
          <w:iCs w:val="false"/>
          <w:color w:val="222222"/>
          <w:sz w:val="22"/>
          <w:szCs w:val="22"/>
        </w:rPr>
        <w:t xml:space="preserve">Die Thiola-Mauern sind 32 Pixel breit mit einem Farbverlauf von kräftigem Grün (#00b894) zu hellerem Türkis (#4ecdc4). Die Beschriftung „THIOLA“ erscheint vertikal in großer, fetter Schrift (bis 18px, Orbitron Font, 900 weight) mit weißer Farbe und grünem Glow-Effekt. Bei ausreichender Wandhöhe wird der Schriftzug mehrfach wiederholt. Die Wände pulsieren dezent (Sinus-Animation der Transparenz).</w:t>
      </w:r>
    </w:p>
    <w:p>
      <w:pPr>
        <w:pStyle w:val="Heading2"/>
        <w:spacing w:after="180" w:before="280"/>
      </w:pPr>
      <w:r>
        <w:rPr>
          <w:rFonts w:ascii="Arial" w:cs="Arial" w:eastAsia="Arial" w:hAnsi="Arial"/>
          <w:b/>
          <w:bCs/>
          <w:color w:val="00B894"/>
          <w:sz w:val="28"/>
          <w:szCs w:val="28"/>
        </w:rPr>
        <w:t xml:space="preserve">4.3 Score-Anzeige</w:t>
      </w:r>
    </w:p>
    <w:p>
      <w:pPr>
        <w:spacing w:after="160" w:before="0" w:line="300"/>
        <w:jc w:val="left"/>
      </w:pPr>
      <w:r>
        <w:rPr>
          <w:rFonts w:ascii="Arial" w:cs="Arial" w:eastAsia="Arial" w:hAnsi="Arial"/>
          <w:b w:val="false"/>
          <w:bCs w:val="false"/>
          <w:i w:val="false"/>
          <w:iCs w:val="false"/>
          <w:color w:val="222222"/>
          <w:sz w:val="22"/>
          <w:szCs w:val="22"/>
        </w:rPr>
        <w:t xml:space="preserve">Der Spielstand wird in großer Schrift (72px, Press Start 2P Font) zentral im Spielfeld angezeigt, halbtransparent (20% Opacity) mit farbigem Glow. Zusätzlich erscheint der Score im HUD oberhalb des Spielfelds in gut lesbarer Größe.</w:t>
      </w:r>
    </w:p>
    <w:p>
      <w:pPr>
        <w:pStyle w:val="Heading1"/>
        <w:spacing w:after="180" w:before="360"/>
      </w:pPr>
      <w:r>
        <w:rPr>
          <w:rFonts w:ascii="Arial" w:cs="Arial" w:eastAsia="Arial" w:hAnsi="Arial"/>
          <w:b/>
          <w:bCs/>
          <w:color w:val="1A1A2E"/>
          <w:sz w:val="32"/>
          <w:szCs w:val="32"/>
        </w:rPr>
        <w:t xml:space="preserve">5. Technische Umsetzung</w:t>
      </w:r>
    </w:p>
    <w:p>
      <w:pPr>
        <w:pStyle w:val="Heading2"/>
        <w:spacing w:after="180" w:before="280"/>
      </w:pPr>
      <w:r>
        <w:rPr>
          <w:rFonts w:ascii="Arial" w:cs="Arial" w:eastAsia="Arial" w:hAnsi="Arial"/>
          <w:b/>
          <w:bCs/>
          <w:color w:val="00B894"/>
          <w:sz w:val="28"/>
          <w:szCs w:val="28"/>
        </w:rPr>
        <w:t xml:space="preserve">5.1 Technologie</w:t>
      </w:r>
    </w:p>
    <w:p>
      <w:pPr>
        <w:pStyle w:val="ListParagraph"/>
        <w:numPr>
          <w:ilvl w:val="0"/>
          <w:numId w:val="3"/>
        </w:numPr>
        <w:spacing w:after="80" w:line="300"/>
      </w:pPr>
      <w:r>
        <w:rPr>
          <w:rFonts w:ascii="Arial" w:cs="Arial" w:eastAsia="Arial" w:hAnsi="Arial"/>
          <w:sz w:val="22"/>
          <w:szCs w:val="22"/>
        </w:rPr>
        <w:t xml:space="preserve">Einzelne HTML-Datei (Self-Contained, keine Abhängigkeiten)</w:t>
      </w:r>
    </w:p>
    <w:p>
      <w:pPr>
        <w:pStyle w:val="ListParagraph"/>
        <w:numPr>
          <w:ilvl w:val="0"/>
          <w:numId w:val="3"/>
        </w:numPr>
        <w:spacing w:after="80" w:line="300"/>
      </w:pPr>
      <w:r>
        <w:rPr>
          <w:rFonts w:ascii="Arial" w:cs="Arial" w:eastAsia="Arial" w:hAnsi="Arial"/>
          <w:sz w:val="22"/>
          <w:szCs w:val="22"/>
        </w:rPr>
        <w:t xml:space="preserve">Vanilla JavaScript, HTML5 Canvas 2D API</w:t>
      </w:r>
    </w:p>
    <w:p>
      <w:pPr>
        <w:pStyle w:val="ListParagraph"/>
        <w:numPr>
          <w:ilvl w:val="0"/>
          <w:numId w:val="3"/>
        </w:numPr>
        <w:spacing w:after="80" w:line="300"/>
      </w:pPr>
      <w:r>
        <w:rPr>
          <w:rFonts w:ascii="Arial" w:cs="Arial" w:eastAsia="Arial" w:hAnsi="Arial"/>
          <w:sz w:val="22"/>
          <w:szCs w:val="22"/>
        </w:rPr>
        <w:t xml:space="preserve">CSS-Overlays für Edu-Screens und Popups</w:t>
      </w:r>
    </w:p>
    <w:p>
      <w:pPr>
        <w:pStyle w:val="ListParagraph"/>
        <w:numPr>
          <w:ilvl w:val="0"/>
          <w:numId w:val="3"/>
        </w:numPr>
        <w:spacing w:after="80" w:line="300"/>
      </w:pPr>
      <w:r>
        <w:rPr>
          <w:rFonts w:ascii="Arial" w:cs="Arial" w:eastAsia="Arial" w:hAnsi="Arial"/>
          <w:sz w:val="22"/>
          <w:szCs w:val="22"/>
        </w:rPr>
        <w:t xml:space="preserve">Google Fonts: Press Start 2P (Retro-Scores), Orbitron (UI/Thiola-Text)</w:t>
      </w:r>
    </w:p>
    <w:p>
      <w:pPr>
        <w:pStyle w:val="ListParagraph"/>
        <w:numPr>
          <w:ilvl w:val="0"/>
          <w:numId w:val="3"/>
        </w:numPr>
        <w:spacing w:after="160" w:line="300"/>
      </w:pPr>
      <w:r>
        <w:rPr>
          <w:rFonts w:ascii="Arial" w:cs="Arial" w:eastAsia="Arial" w:hAnsi="Arial"/>
          <w:sz w:val="22"/>
          <w:szCs w:val="22"/>
        </w:rPr>
        <w:t xml:space="preserve">Spielfeld: 800 × 500 Pixel (Canvas)</w:t>
      </w:r>
    </w:p>
    <w:p>
      <w:pPr>
        <w:pStyle w:val="Heading2"/>
        <w:spacing w:after="180" w:before="280"/>
      </w:pPr>
      <w:r>
        <w:rPr>
          <w:rFonts w:ascii="Arial" w:cs="Arial" w:eastAsia="Arial" w:hAnsi="Arial"/>
          <w:b/>
          <w:bCs/>
          <w:color w:val="00B894"/>
          <w:sz w:val="28"/>
          <w:szCs w:val="28"/>
        </w:rPr>
        <w:t xml:space="preserve">5.2 Steuerung</w:t>
      </w:r>
    </w:p>
    <w:p>
      <w:pPr>
        <w:spacing w:after="160" w:before="0" w:line="300"/>
        <w:jc w:val="left"/>
      </w:pPr>
      <w:r>
        <w:rPr>
          <w:rFonts w:ascii="Arial" w:cs="Arial" w:eastAsia="Arial" w:hAnsi="Arial"/>
          <w:b/>
          <w:bCs/>
          <w:i w:val="false"/>
          <w:iCs w:val="false"/>
          <w:color w:val="222222"/>
          <w:sz w:val="22"/>
          <w:szCs w:val="22"/>
        </w:rPr>
        <w:t xml:space="preserve">Spieler vs. CPU: </w:t>
      </w:r>
      <w:r>
        <w:rPr>
          <w:rFonts w:ascii="Arial" w:cs="Arial" w:eastAsia="Arial" w:hAnsi="Arial"/>
          <w:b w:val="false"/>
          <w:bCs w:val="false"/>
          <w:i w:val="false"/>
          <w:iCs w:val="false"/>
          <w:color w:val="222222"/>
          <w:sz w:val="22"/>
          <w:szCs w:val="22"/>
        </w:rPr>
        <w:t xml:space="preserve">Mausbewegung (empfohlen) oder W/S- bzw. Pfeiltasten.</w:t>
      </w:r>
    </w:p>
    <w:p>
      <w:pPr>
        <w:spacing w:after="160" w:before="0" w:line="300"/>
        <w:jc w:val="left"/>
      </w:pPr>
      <w:r>
        <w:rPr>
          <w:rFonts w:ascii="Arial" w:cs="Arial" w:eastAsia="Arial" w:hAnsi="Arial"/>
          <w:b/>
          <w:bCs/>
          <w:i w:val="false"/>
          <w:iCs w:val="false"/>
          <w:color w:val="222222"/>
          <w:sz w:val="22"/>
          <w:szCs w:val="22"/>
        </w:rPr>
        <w:t xml:space="preserve">Spieler vs. Spieler: </w:t>
      </w:r>
      <w:r>
        <w:rPr>
          <w:rFonts w:ascii="Arial" w:cs="Arial" w:eastAsia="Arial" w:hAnsi="Arial"/>
          <w:b w:val="false"/>
          <w:bCs w:val="false"/>
          <w:i w:val="false"/>
          <w:iCs w:val="false"/>
          <w:color w:val="222222"/>
          <w:sz w:val="22"/>
          <w:szCs w:val="22"/>
        </w:rPr>
        <w:t xml:space="preserve">Spieler 1 (links) mit W/S, Spieler 2 (rechts) mit Pfeiltasten Auf/Ab.</w:t>
      </w:r>
    </w:p>
    <w:p>
      <w:pPr>
        <w:spacing w:after="160" w:before="0" w:line="300"/>
        <w:jc w:val="left"/>
      </w:pPr>
      <w:r>
        <w:rPr>
          <w:rFonts w:ascii="Arial" w:cs="Arial" w:eastAsia="Arial" w:hAnsi="Arial"/>
          <w:b w:val="false"/>
          <w:bCs w:val="false"/>
          <w:i w:val="false"/>
          <w:iCs w:val="false"/>
          <w:color w:val="222222"/>
          <w:sz w:val="22"/>
          <w:szCs w:val="22"/>
        </w:rPr>
        <w:t xml:space="preserve">Edu-Einblendungen werden per Klick oder beliebiger Tasteneingabe weitergeschaltet (Pfeiltasten ausgenommen, um versehentliches Wegklicken zu vermeiden).</w:t>
      </w:r>
    </w:p>
    <w:p>
      <w:pPr>
        <w:pStyle w:val="Heading2"/>
        <w:spacing w:after="180" w:before="280"/>
      </w:pPr>
      <w:r>
        <w:rPr>
          <w:rFonts w:ascii="Arial" w:cs="Arial" w:eastAsia="Arial" w:hAnsi="Arial"/>
          <w:b/>
          <w:bCs/>
          <w:color w:val="00B894"/>
          <w:sz w:val="28"/>
          <w:szCs w:val="28"/>
        </w:rPr>
        <w:t xml:space="preserve">5.3 Partikeleffekte</w:t>
      </w:r>
    </w:p>
    <w:p>
      <w:pPr>
        <w:spacing w:after="160" w:before="0" w:line="300"/>
        <w:jc w:val="left"/>
      </w:pPr>
      <w:r>
        <w:rPr>
          <w:rFonts w:ascii="Arial" w:cs="Arial" w:eastAsia="Arial" w:hAnsi="Arial"/>
          <w:b w:val="false"/>
          <w:bCs w:val="false"/>
          <w:i w:val="false"/>
          <w:iCs w:val="false"/>
          <w:color w:val="222222"/>
          <w:sz w:val="22"/>
          <w:szCs w:val="22"/>
        </w:rPr>
        <w:t xml:space="preserve">Paddle-Treffer und Tore erzeugen farbige Partikel-Explosionen. Der Ball hinterlässt eine Leuchtspur (Trails). Thiola-Wand-Abpraller erzeugen grüne Partikel als visuelles Feedback.</w:t>
      </w:r>
    </w:p>
    <w:p>
      <w:pPr>
        <w:pStyle w:val="Heading1"/>
        <w:spacing w:after="180" w:before="360"/>
      </w:pPr>
      <w:r>
        <w:rPr>
          <w:rFonts w:ascii="Arial" w:cs="Arial" w:eastAsia="Arial" w:hAnsi="Arial"/>
          <w:b/>
          <w:bCs/>
          <w:color w:val="1A1A2E"/>
          <w:sz w:val="32"/>
          <w:szCs w:val="32"/>
        </w:rPr>
        <w:t xml:space="preserve">6. Einsatz am Messestand</w:t>
      </w:r>
    </w:p>
    <w:p>
      <w:pPr>
        <w:pStyle w:val="Heading2"/>
        <w:spacing w:after="180" w:before="280"/>
      </w:pPr>
      <w:r>
        <w:rPr>
          <w:rFonts w:ascii="Arial" w:cs="Arial" w:eastAsia="Arial" w:hAnsi="Arial"/>
          <w:b/>
          <w:bCs/>
          <w:color w:val="00B894"/>
          <w:sz w:val="28"/>
          <w:szCs w:val="28"/>
        </w:rPr>
        <w:t xml:space="preserve">6.1 Verweildauer</w:t>
      </w:r>
    </w:p>
    <w:p>
      <w:pPr>
        <w:spacing w:after="160" w:before="0" w:line="300"/>
        <w:jc w:val="left"/>
      </w:pPr>
      <w:r>
        <w:rPr>
          <w:rFonts w:ascii="Arial" w:cs="Arial" w:eastAsia="Arial" w:hAnsi="Arial"/>
          <w:b w:val="false"/>
          <w:bCs w:val="false"/>
          <w:i w:val="false"/>
          <w:iCs w:val="false"/>
          <w:color w:val="222222"/>
          <w:sz w:val="22"/>
          <w:szCs w:val="22"/>
        </w:rPr>
        <w:t xml:space="preserve">Ein kompletter Spieldurchgang (3 Level) dauert ca. 3–5 Minuten. Die Pflicht, jede Edu-Einblendung aktiv wegzuklicken, erzwingt das Lesen und erhöht die Verweildauer am Stand. Die leichte Erlernbarkeit (Pong ist universell bekannt) senkt die Einstiegshürde.</w:t>
      </w:r>
    </w:p>
    <w:p>
      <w:pPr>
        <w:pStyle w:val="Heading2"/>
        <w:spacing w:after="180" w:before="280"/>
      </w:pPr>
      <w:r>
        <w:rPr>
          <w:rFonts w:ascii="Arial" w:cs="Arial" w:eastAsia="Arial" w:hAnsi="Arial"/>
          <w:b/>
          <w:bCs/>
          <w:color w:val="00B894"/>
          <w:sz w:val="28"/>
          <w:szCs w:val="28"/>
        </w:rPr>
        <w:t xml:space="preserve">6.2 Botschaftstransport</w:t>
      </w:r>
    </w:p>
    <w:p>
      <w:pPr>
        <w:spacing w:after="160" w:before="0" w:line="300"/>
        <w:jc w:val="left"/>
      </w:pPr>
      <w:r>
        <w:rPr>
          <w:rFonts w:ascii="Arial" w:cs="Arial" w:eastAsia="Arial" w:hAnsi="Arial"/>
          <w:b w:val="false"/>
          <w:bCs w:val="false"/>
          <w:i w:val="false"/>
          <w:iCs w:val="false"/>
          <w:color w:val="222222"/>
          <w:sz w:val="22"/>
          <w:szCs w:val="22"/>
        </w:rPr>
        <w:t xml:space="preserve">Die Dual-Strategie der Edu-Inhalte (positiv bei Spieler-Tor, negativ bei CPU-Tor) stellt sicher, dass unabhängig vom Spielverlauf immer relevante Botschaften transportiert werden. Der Spieler erlebt die Thiola-Wirkung zudem mechanisch: Die Wände schützen sein Tor tatsächlich im Spiel.</w:t>
      </w:r>
    </w:p>
    <w:p>
      <w:pPr>
        <w:pStyle w:val="Heading2"/>
        <w:spacing w:after="180" w:before="280"/>
      </w:pPr>
      <w:r>
        <w:rPr>
          <w:rFonts w:ascii="Arial" w:cs="Arial" w:eastAsia="Arial" w:hAnsi="Arial"/>
          <w:b/>
          <w:bCs/>
          <w:color w:val="00B894"/>
          <w:sz w:val="28"/>
          <w:szCs w:val="28"/>
        </w:rPr>
        <w:t xml:space="preserve">6.3 Wiederholbarkeit und Mehrspieler-Aspekt</w:t>
      </w:r>
    </w:p>
    <w:p>
      <w:pPr>
        <w:spacing w:after="160" w:before="0" w:line="300"/>
        <w:jc w:val="left"/>
      </w:pPr>
      <w:r>
        <w:rPr>
          <w:rFonts w:ascii="Arial" w:cs="Arial" w:eastAsia="Arial" w:hAnsi="Arial"/>
          <w:b w:val="false"/>
          <w:bCs w:val="false"/>
          <w:i w:val="false"/>
          <w:iCs w:val="false"/>
          <w:color w:val="222222"/>
          <w:sz w:val="22"/>
          <w:szCs w:val="22"/>
        </w:rPr>
        <w:t xml:space="preserve">Durch 10 verschiedene Botschaften pro Kategorie (Spieler/CPU) sehen Besucher bei erneutem Spielen andere Inhalte. Die Nachrichten rotieren zyklisch durch. Mehrfachspielen wird durch den Wettbewerbscharakter gefördert.</w:t>
      </w:r>
    </w:p>
    <w:p>
      <w:pPr>
        <w:spacing w:after="160" w:before="0" w:line="300"/>
        <w:jc w:val="left"/>
      </w:pPr>
      <w:r>
        <w:rPr>
          <w:rFonts w:ascii="Arial" w:cs="Arial" w:eastAsia="Arial" w:hAnsi="Arial"/>
          <w:b/>
          <w:bCs/>
          <w:i w:val="false"/>
          <w:iCs w:val="false"/>
          <w:color w:val="222222"/>
          <w:sz w:val="22"/>
          <w:szCs w:val="22"/>
        </w:rPr>
        <w:t xml:space="preserve">Der Spieler-vs.-Spieler-Modus</w:t>
      </w:r>
      <w:r>
        <w:rPr>
          <w:rFonts w:ascii="Arial" w:cs="Arial" w:eastAsia="Arial" w:hAnsi="Arial"/>
          <w:b w:val="false"/>
          <w:bCs w:val="false"/>
          <w:i w:val="false"/>
          <w:iCs w:val="false"/>
          <w:color w:val="222222"/>
          <w:sz w:val="22"/>
          <w:szCs w:val="22"/>
        </w:rPr>
        <w:t xml:space="preserve"> erweitert die Reichweite zusätzlich: Zwei Standbesucher können gemeinsam spielen, was die soziale Dynamik am Stand stärkt und die Verweildauer pro „Spieler-Paar“ verdoppelt. Beide Teilnehmer werden den Botschaften ausgesetzt und erleben die Thiola-Allegorie aus jeweils unterschiedlicher Perspektive.</w:t>
      </w:r>
    </w:p>
    <w:sectPr>
      <w:headerReference w:type="default" r:id="rId7"/>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jc w:val="right"/>
    </w:pPr>
    <w:r>
      <w:rPr>
        <w:rFonts w:ascii="Arial" w:cs="Arial" w:eastAsia="Arial" w:hAnsi="Arial"/>
        <w:i/>
        <w:iCs/>
        <w:color w:val="AAAAAA"/>
        <w:sz w:val="16"/>
        <w:szCs w:val="16"/>
      </w:rPr>
      <w:t xml:space="preserve">THIOLA PONG — Spielkonzept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abstractNum w:abstractNumId="3" w15:restartNumberingAfterBreak="0">
    <w:multiLevelType w:val="hybridMultilevel"/>
    <w:lvl w:ilvl="0" w15:tentative="1">
      <w:start w:val="1"/>
      <w:numFmt w:val="decimal"/>
      <w:lvlText w:val="%1."/>
      <w:lvlJc w:val="left"/>
      <w:pPr>
        <w:ind w:left="720" w:hanging="360"/>
      </w:pPr>
    </w:lvl>
  </w:abstractNum>
  <w:num w:numId="1">
    <w:abstractNumId w:val="1"/>
    <w:lvlOverride w:ilvl="0">
      <w:startOverride w:val="1"/>
    </w:lvlOverride>
  </w:num>
  <w:num w:numId="2">
    <w:abstractNumId w:val="3"/>
    <w:lvlOverride w:ilvl="0">
      <w:startOverride w:val="1"/>
    </w:lvlOverride>
  </w:num>
  <w:num w:numId="3">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200" w:before="360"/>
      <w:outlineLvl w:val="0"/>
    </w:pPr>
    <w:rPr>
      <w:rFonts w:ascii="Arial" w:cs="Arial" w:eastAsia="Arial" w:hAnsi="Arial"/>
      <w:b/>
      <w:bCs/>
      <w:color w:val="1A1A2E"/>
      <w:sz w:val="36"/>
      <w:szCs w:val="36"/>
    </w:rPr>
  </w:style>
  <w:style w:type="paragraph" w:styleId="Heading2">
    <w:name w:val="Heading 2"/>
    <w:basedOn w:val="Normal"/>
    <w:next w:val="Normal"/>
    <w:qFormat/>
    <w:pPr>
      <w:spacing w:after="160" w:before="300"/>
      <w:outlineLvl w:val="1"/>
    </w:pPr>
    <w:rPr>
      <w:rFonts w:ascii="Arial" w:cs="Arial" w:eastAsia="Arial" w:hAnsi="Arial"/>
      <w:b/>
      <w:bCs/>
      <w:color w:val="00B894"/>
      <w:sz w:val="28"/>
      <w:szCs w:val="28"/>
    </w:rPr>
  </w:style>
  <w:style w:type="paragraph" w:styleId="Heading3">
    <w:name w:val="Heading 3"/>
    <w:basedOn w:val="Normal"/>
    <w:next w:val="Normal"/>
    <w:qFormat/>
    <w:pPr>
      <w:spacing w:after="120" w:before="240"/>
      <w:outlineLvl w:val="2"/>
    </w:pPr>
    <w:rPr>
      <w:rFonts w:ascii="Arial" w:cs="Arial" w:eastAsia="Arial" w:hAnsi="Arial"/>
      <w:b/>
      <w:bCs/>
      <w:color w:val="222222"/>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2026-04-07T06:15:19.449Z</dcterms:created>
  <dcterms:modified xsi:type="dcterms:W3CDTF">2026-04-07T06:15:19.449Z</dcterms:modified>
</cp:coreProperties>
</file>

<file path=docProps/custom.xml><?xml version="1.0" encoding="utf-8"?>
<Properties xmlns="http://schemas.openxmlformats.org/officeDocument/2006/custom-properties" xmlns:vt="http://schemas.openxmlformats.org/officeDocument/2006/docPropsVTypes"/>
</file>